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spacing w:before="0" w:after="0" w:line="360" w:lineRule="auto"/>
        <w:jc w:val="center"/>
        <w:rPr>
          <w:rFonts w:ascii="宋体" w:hAnsi="宋体"/>
          <w:color w:val="000000"/>
          <w:sz w:val="32"/>
          <w:szCs w:val="32"/>
        </w:rPr>
      </w:pPr>
      <w:bookmarkStart w:id="0" w:name="_Toc19684"/>
      <w:r>
        <w:rPr>
          <w:rFonts w:hint="eastAsia" w:ascii="宋体" w:hAnsi="宋体"/>
          <w:color w:val="000000"/>
          <w:sz w:val="32"/>
          <w:szCs w:val="32"/>
        </w:rPr>
        <w:t>系统方案设计</w:t>
      </w:r>
      <w:bookmarkEnd w:id="0"/>
      <w:r>
        <w:rPr>
          <w:rFonts w:hint="eastAsia" w:ascii="宋体" w:hAnsi="宋体"/>
          <w:color w:val="000000"/>
          <w:sz w:val="32"/>
          <w:szCs w:val="32"/>
        </w:rPr>
        <w:t>要求</w:t>
      </w:r>
    </w:p>
    <w:p>
      <w:pPr>
        <w:pStyle w:val="4"/>
        <w:numPr>
          <w:ilvl w:val="1"/>
          <w:numId w:val="3"/>
        </w:numPr>
        <w:spacing w:before="0" w:after="0" w:line="360" w:lineRule="auto"/>
        <w:rPr>
          <w:rFonts w:ascii="宋体" w:hAnsi="宋体" w:eastAsia="宋体"/>
          <w:color w:val="000000"/>
          <w:sz w:val="28"/>
          <w:szCs w:val="28"/>
        </w:rPr>
      </w:pPr>
      <w:bookmarkStart w:id="1" w:name="_Toc17711"/>
      <w:r>
        <w:rPr>
          <w:rFonts w:hint="eastAsia" w:ascii="宋体" w:hAnsi="宋体" w:eastAsia="宋体"/>
          <w:color w:val="000000"/>
          <w:sz w:val="28"/>
          <w:szCs w:val="28"/>
        </w:rPr>
        <w:t>系统需求</w:t>
      </w:r>
      <w:bookmarkEnd w:id="1"/>
    </w:p>
    <w:p>
      <w:pPr>
        <w:pStyle w:val="18"/>
        <w:spacing w:line="360" w:lineRule="auto"/>
        <w:ind w:firstLine="0" w:firstLineChars="0"/>
        <w:rPr>
          <w:rFonts w:ascii="宋体" w:hAnsi="宋体"/>
          <w:sz w:val="28"/>
          <w:szCs w:val="28"/>
        </w:rPr>
      </w:pPr>
      <w:r>
        <w:rPr>
          <w:rFonts w:hint="eastAsia" w:ascii="宋体" w:hAnsi="宋体" w:eastAsia="宋体" w:cs="Times New Roman"/>
          <w:color w:val="000000"/>
          <w:sz w:val="28"/>
          <w:szCs w:val="28"/>
        </w:rPr>
        <w:t>1.崔庄煤矿现有地面调度中心大屏建设年限较久存在着故障率高、设备老旧等问题，煤矿现有的调度中心大屏已经无法满足崔庄煤矿安全生产管理的需要，亟需对现有调度中心大屏，包括地面视频监控、井下视频监控、视频存储、视频解码上墙、大屏拼接显示和网络传输。具体招标数量和采购要求详见招标清单。</w:t>
      </w:r>
    </w:p>
    <w:p>
      <w:pPr>
        <w:pStyle w:val="24"/>
        <w:tabs>
          <w:tab w:val="clear" w:pos="8520"/>
        </w:tabs>
        <w:adjustRightInd w:val="0"/>
        <w:snapToGrid w:val="0"/>
        <w:spacing w:line="360" w:lineRule="auto"/>
        <w:ind w:right="-1" w:firstLine="0"/>
        <w:rPr>
          <w:rFonts w:ascii="宋体" w:hAnsi="宋体" w:eastAsia="宋体" w:cs="Arial"/>
          <w:color w:val="000000"/>
          <w:szCs w:val="28"/>
        </w:rPr>
      </w:pPr>
      <w:r>
        <w:rPr>
          <w:rFonts w:hint="eastAsia" w:ascii="宋体" w:hAnsi="宋体" w:eastAsia="宋体"/>
          <w:color w:val="000000"/>
          <w:szCs w:val="28"/>
        </w:rPr>
        <w:t>2、采用目前最先进的显示技术，</w:t>
      </w:r>
      <w:r>
        <w:rPr>
          <w:rFonts w:hint="eastAsia" w:ascii="宋体" w:hAnsi="宋体" w:eastAsia="宋体" w:cs="Arial"/>
          <w:color w:val="000000"/>
          <w:szCs w:val="28"/>
        </w:rPr>
        <w:t>将国际最卓越的LED高清晰度数字显示技术、多屏图像处理技术、信号切换技术、网络技术等的应用综合为一体，形成一个拥有高亮度、高清晰度、高智能化控制、操作方法先进的LED大屏幕显示系统。</w:t>
      </w:r>
    </w:p>
    <w:p>
      <w:pPr>
        <w:pStyle w:val="24"/>
        <w:tabs>
          <w:tab w:val="clear" w:pos="8520"/>
        </w:tabs>
        <w:adjustRightInd w:val="0"/>
        <w:snapToGrid w:val="0"/>
        <w:spacing w:line="360" w:lineRule="auto"/>
        <w:ind w:right="44" w:firstLine="0"/>
        <w:rPr>
          <w:rFonts w:ascii="宋体" w:hAnsi="宋体" w:eastAsia="宋体"/>
          <w:color w:val="000000"/>
          <w:szCs w:val="28"/>
        </w:rPr>
      </w:pPr>
      <w:r>
        <w:rPr>
          <w:rFonts w:hint="eastAsia" w:ascii="宋体" w:hAnsi="宋体" w:eastAsia="宋体"/>
          <w:color w:val="000000"/>
          <w:szCs w:val="28"/>
        </w:rPr>
        <w:t>3、通过这套LED大屏幕显示系统可以实现对的</w:t>
      </w:r>
      <w:r>
        <w:rPr>
          <w:rFonts w:hint="eastAsia" w:ascii="宋体" w:hAnsi="宋体" w:eastAsia="宋体" w:cs="Arial"/>
          <w:color w:val="000000"/>
          <w:szCs w:val="28"/>
        </w:rPr>
        <w:t>整个系统所需要显示的</w:t>
      </w:r>
      <w:r>
        <w:rPr>
          <w:rFonts w:hint="eastAsia" w:ascii="宋体" w:hAnsi="宋体" w:eastAsia="宋体"/>
          <w:color w:val="000000"/>
          <w:szCs w:val="28"/>
        </w:rPr>
        <w:t>各种情况的动态监管，可随时对各种采集到的监控信号、网络信号及各种计算机图形信息进行多画面显示和分析，能够直观、完整、准确、清晰、灵活的显示任意有关来自各方面信息，便于及时做出判断和处理，实现实时监控和集中指挥、统一管控的目的。</w:t>
      </w:r>
    </w:p>
    <w:p>
      <w:pPr>
        <w:spacing w:line="360" w:lineRule="auto"/>
        <w:rPr>
          <w:rFonts w:ascii="宋体" w:hAnsi="宋体"/>
          <w:color w:val="000000"/>
          <w:sz w:val="28"/>
          <w:szCs w:val="28"/>
        </w:rPr>
      </w:pPr>
      <w:r>
        <w:rPr>
          <w:rFonts w:hint="eastAsia" w:ascii="宋体" w:hAnsi="宋体"/>
          <w:color w:val="000000"/>
          <w:sz w:val="28"/>
          <w:szCs w:val="28"/>
        </w:rPr>
        <w:t>4、本项目拟采用小间距高清LED显示技术，采用小间距表贴封装LED做为显示面板，支持整屏无缝拼接，组成一个高分辨率的数字显示系统。可全面满足高清晰度要求的广播电视、指挥控制、视频监控、会议显示等多领域的广泛的应用需求，代表了当今室内显示技术的最新方向，以其卓越性能，引领了室内显示技术的发展趋势。</w:t>
      </w:r>
    </w:p>
    <w:p>
      <w:pPr>
        <w:spacing w:line="360" w:lineRule="auto"/>
        <w:rPr>
          <w:rFonts w:ascii="宋体" w:hAnsi="宋体"/>
          <w:color w:val="000000"/>
          <w:sz w:val="28"/>
          <w:szCs w:val="28"/>
        </w:rPr>
      </w:pPr>
      <w:r>
        <w:rPr>
          <w:rFonts w:hint="eastAsia" w:ascii="宋体" w:hAnsi="宋体"/>
          <w:b/>
          <w:color w:val="000000"/>
          <w:sz w:val="28"/>
          <w:szCs w:val="28"/>
        </w:rPr>
        <w:t>本项目为交钥匙工程（推荐品牌1.利亚德.2.大华3海康威视）。</w:t>
      </w:r>
    </w:p>
    <w:p>
      <w:pPr>
        <w:pStyle w:val="4"/>
        <w:numPr>
          <w:ilvl w:val="1"/>
          <w:numId w:val="3"/>
        </w:numPr>
        <w:spacing w:before="0" w:after="0" w:line="360" w:lineRule="auto"/>
        <w:rPr>
          <w:rFonts w:ascii="宋体" w:hAnsi="宋体" w:eastAsia="宋体"/>
          <w:color w:val="000000"/>
          <w:sz w:val="28"/>
          <w:szCs w:val="28"/>
        </w:rPr>
      </w:pPr>
      <w:bookmarkStart w:id="2" w:name="_Toc11182"/>
      <w:r>
        <w:rPr>
          <w:rFonts w:hint="eastAsia" w:ascii="宋体" w:hAnsi="宋体" w:eastAsia="宋体"/>
          <w:color w:val="000000"/>
          <w:sz w:val="28"/>
          <w:szCs w:val="28"/>
        </w:rPr>
        <w:t>整体设计原则</w:t>
      </w:r>
      <w:bookmarkEnd w:id="2"/>
      <w:r>
        <w:rPr>
          <w:rFonts w:hint="eastAsia" w:ascii="宋体" w:hAnsi="宋体" w:eastAsia="宋体"/>
          <w:color w:val="000000"/>
          <w:sz w:val="28"/>
          <w:szCs w:val="28"/>
        </w:rPr>
        <w:t>要求</w:t>
      </w:r>
    </w:p>
    <w:p>
      <w:pPr>
        <w:pStyle w:val="25"/>
        <w:spacing w:line="360" w:lineRule="auto"/>
        <w:ind w:firstLine="447"/>
        <w:rPr>
          <w:rFonts w:ascii="宋体" w:hAnsi="宋体" w:cs="Times New Roman"/>
          <w:color w:val="000000"/>
          <w:kern w:val="2"/>
          <w:sz w:val="28"/>
          <w:szCs w:val="28"/>
        </w:rPr>
      </w:pPr>
      <w:r>
        <w:rPr>
          <w:rFonts w:hint="eastAsia" w:ascii="宋体" w:hAnsi="宋体" w:cs="Times New Roman"/>
          <w:color w:val="000000"/>
          <w:kern w:val="2"/>
          <w:sz w:val="28"/>
          <w:szCs w:val="28"/>
        </w:rPr>
        <w:t>本方案全彩LED显示系统设计的基本指导思想和原则是：统筹规划，以需求为导向，以应用促建设，同时考虑高起点、高度集成、实用性与先进性相结合，具有安全性、易用性，前瞻性。</w:t>
      </w:r>
    </w:p>
    <w:p>
      <w:pPr>
        <w:pStyle w:val="25"/>
        <w:spacing w:line="360" w:lineRule="auto"/>
        <w:ind w:firstLine="447"/>
        <w:rPr>
          <w:rFonts w:ascii="宋体" w:hAnsi="宋体" w:cs="Times New Roman"/>
          <w:color w:val="000000"/>
          <w:kern w:val="2"/>
          <w:sz w:val="28"/>
          <w:szCs w:val="28"/>
        </w:rPr>
      </w:pPr>
      <w:r>
        <w:rPr>
          <w:rFonts w:hint="eastAsia" w:ascii="宋体" w:hAnsi="宋体" w:cs="Times New Roman"/>
          <w:b/>
          <w:color w:val="000000"/>
          <w:kern w:val="2"/>
          <w:sz w:val="28"/>
          <w:szCs w:val="28"/>
        </w:rPr>
        <w:t xml:space="preserve">以需求为第一出发点: </w:t>
      </w:r>
      <w:r>
        <w:rPr>
          <w:rFonts w:hint="eastAsia" w:ascii="宋体" w:hAnsi="宋体" w:cs="Times New Roman"/>
          <w:color w:val="000000"/>
          <w:kern w:val="2"/>
          <w:sz w:val="28"/>
          <w:szCs w:val="28"/>
        </w:rPr>
        <w:t>系统的设计核心就是提供全方位、方便、快捷多媒体信息发布的服务。</w:t>
      </w:r>
    </w:p>
    <w:p>
      <w:pPr>
        <w:pStyle w:val="25"/>
        <w:spacing w:line="360" w:lineRule="auto"/>
        <w:ind w:firstLine="447"/>
        <w:rPr>
          <w:rFonts w:ascii="宋体" w:hAnsi="宋体" w:cs="Times New Roman"/>
          <w:color w:val="000000"/>
          <w:kern w:val="2"/>
          <w:sz w:val="28"/>
          <w:szCs w:val="28"/>
        </w:rPr>
      </w:pPr>
      <w:r>
        <w:rPr>
          <w:rFonts w:hint="eastAsia" w:ascii="宋体" w:hAnsi="宋体" w:cs="Times New Roman"/>
          <w:b/>
          <w:color w:val="000000"/>
          <w:kern w:val="2"/>
          <w:sz w:val="28"/>
          <w:szCs w:val="28"/>
        </w:rPr>
        <w:t xml:space="preserve">高起点: </w:t>
      </w:r>
      <w:r>
        <w:rPr>
          <w:rFonts w:hint="eastAsia" w:ascii="宋体" w:hAnsi="宋体" w:cs="Times New Roman"/>
          <w:color w:val="000000"/>
          <w:kern w:val="2"/>
          <w:sz w:val="28"/>
          <w:szCs w:val="28"/>
        </w:rPr>
        <w:t>即先进性，系统采用的硬件设备应是目前世界上较为先进的设备，能够满足业务和应用的发展需要。软件设计上应着眼于超前打算，综合利用，有较长的使用周期。</w:t>
      </w:r>
    </w:p>
    <w:p>
      <w:pPr>
        <w:pStyle w:val="25"/>
        <w:spacing w:line="360" w:lineRule="auto"/>
        <w:ind w:firstLine="447"/>
        <w:rPr>
          <w:rFonts w:ascii="宋体" w:hAnsi="宋体" w:cs="Times New Roman"/>
          <w:color w:val="000000"/>
          <w:kern w:val="2"/>
          <w:sz w:val="28"/>
          <w:szCs w:val="28"/>
        </w:rPr>
      </w:pPr>
      <w:r>
        <w:rPr>
          <w:rFonts w:hint="eastAsia" w:ascii="宋体" w:hAnsi="宋体" w:cs="Times New Roman"/>
          <w:b/>
          <w:color w:val="000000"/>
          <w:kern w:val="2"/>
          <w:sz w:val="28"/>
          <w:szCs w:val="28"/>
        </w:rPr>
        <w:t>高度集成：</w:t>
      </w:r>
      <w:r>
        <w:rPr>
          <w:rFonts w:hint="eastAsia" w:ascii="宋体" w:hAnsi="宋体" w:cs="Times New Roman"/>
          <w:color w:val="000000"/>
          <w:kern w:val="2"/>
          <w:sz w:val="28"/>
          <w:szCs w:val="28"/>
        </w:rPr>
        <w:t>将计算机处理、全彩色LED显示屏通信、视像显示以及所有信息处理集成在统一的平台上同步、集中控制，各功能子系统可实现同步联动。并可通过强大的通用接口，将原有显示屏系统挂接进来，实现同步控制，提供了一个高度集成、同步控制的户内显示应用系统。</w:t>
      </w:r>
    </w:p>
    <w:p>
      <w:pPr>
        <w:pStyle w:val="25"/>
        <w:spacing w:line="360" w:lineRule="auto"/>
        <w:ind w:firstLine="447"/>
        <w:rPr>
          <w:rFonts w:ascii="宋体" w:hAnsi="宋体" w:cs="Times New Roman"/>
          <w:color w:val="000000"/>
          <w:kern w:val="2"/>
          <w:sz w:val="28"/>
          <w:szCs w:val="28"/>
        </w:rPr>
      </w:pPr>
      <w:r>
        <w:rPr>
          <w:rFonts w:hint="eastAsia" w:ascii="宋体" w:hAnsi="宋体" w:cs="Times New Roman"/>
          <w:b/>
          <w:color w:val="000000"/>
          <w:kern w:val="2"/>
          <w:sz w:val="28"/>
          <w:szCs w:val="28"/>
        </w:rPr>
        <w:t>系统化的设计：</w:t>
      </w:r>
      <w:r>
        <w:rPr>
          <w:rFonts w:hint="eastAsia" w:ascii="宋体" w:hAnsi="宋体" w:cs="Times New Roman"/>
          <w:color w:val="000000"/>
          <w:kern w:val="2"/>
          <w:sz w:val="28"/>
          <w:szCs w:val="28"/>
        </w:rPr>
        <w:t>突破传统设计惯式，运用LED显示技术的科技内涵，结合行业特色，对系统进行完善的细部设计，使之与各项户内多媒体信息发布服务紧密配合，营造户内显示系统和谐统一的整体形象。</w:t>
      </w:r>
    </w:p>
    <w:p>
      <w:pPr>
        <w:pStyle w:val="25"/>
        <w:spacing w:line="360" w:lineRule="auto"/>
        <w:ind w:firstLine="447"/>
        <w:rPr>
          <w:rFonts w:ascii="宋体" w:hAnsi="宋体" w:cs="Times New Roman"/>
          <w:color w:val="000000"/>
          <w:kern w:val="2"/>
          <w:sz w:val="28"/>
          <w:szCs w:val="28"/>
        </w:rPr>
      </w:pPr>
      <w:r>
        <w:rPr>
          <w:rFonts w:hint="eastAsia" w:ascii="宋体" w:hAnsi="宋体" w:cs="Times New Roman"/>
          <w:b/>
          <w:color w:val="000000"/>
          <w:kern w:val="2"/>
          <w:sz w:val="28"/>
          <w:szCs w:val="28"/>
        </w:rPr>
        <w:t>安全性：</w:t>
      </w:r>
      <w:r>
        <w:rPr>
          <w:rFonts w:hint="eastAsia" w:ascii="宋体" w:hAnsi="宋体" w:cs="Times New Roman"/>
          <w:color w:val="000000"/>
          <w:kern w:val="2"/>
          <w:sz w:val="28"/>
          <w:szCs w:val="28"/>
        </w:rPr>
        <w:t>充分考虑系统对信息安全的需求，保证各类信息安全可靠运行。设计时各部分关键线路、设备、数据均采用相应的技术措施。</w:t>
      </w:r>
    </w:p>
    <w:p>
      <w:pPr>
        <w:pStyle w:val="25"/>
        <w:spacing w:line="360" w:lineRule="auto"/>
        <w:ind w:firstLine="447"/>
        <w:rPr>
          <w:rFonts w:ascii="宋体" w:hAnsi="宋体" w:cs="Times New Roman"/>
          <w:color w:val="000000"/>
          <w:kern w:val="2"/>
          <w:sz w:val="28"/>
          <w:szCs w:val="28"/>
        </w:rPr>
      </w:pPr>
      <w:r>
        <w:rPr>
          <w:rFonts w:hint="eastAsia" w:ascii="宋体" w:hAnsi="宋体" w:cs="Times New Roman"/>
          <w:b/>
          <w:color w:val="000000"/>
          <w:kern w:val="2"/>
          <w:sz w:val="28"/>
          <w:szCs w:val="28"/>
        </w:rPr>
        <w:t>前瞻性：</w:t>
      </w:r>
      <w:r>
        <w:rPr>
          <w:rFonts w:hint="eastAsia" w:ascii="宋体" w:hAnsi="宋体" w:cs="Times New Roman"/>
          <w:color w:val="000000"/>
          <w:kern w:val="2"/>
          <w:sz w:val="28"/>
          <w:szCs w:val="28"/>
        </w:rPr>
        <w:t>即系统具有可扩展性并适度超前。采用的硬件设备和软件系统应具有足够的扩展接口、支持相应的协议和升级能力。同时，由于当前显示技术和计算机技术发展十分迅速，而随着应用的不断增长，对计算机系统资源（包括速度、容量、网络）的要求会越来越大。因此，本系统在保证技术先进性的基础上，适度超前。</w:t>
      </w:r>
    </w:p>
    <w:p>
      <w:pPr>
        <w:pStyle w:val="4"/>
        <w:numPr>
          <w:ilvl w:val="1"/>
          <w:numId w:val="3"/>
        </w:numPr>
        <w:spacing w:before="0" w:after="0" w:line="360" w:lineRule="auto"/>
        <w:rPr>
          <w:rFonts w:ascii="宋体" w:hAnsi="宋体" w:eastAsia="宋体"/>
          <w:color w:val="000000"/>
          <w:sz w:val="28"/>
          <w:szCs w:val="28"/>
        </w:rPr>
      </w:pPr>
      <w:r>
        <w:rPr>
          <w:rFonts w:hint="eastAsia" w:ascii="宋体" w:hAnsi="宋体" w:eastAsia="宋体"/>
          <w:color w:val="000000"/>
          <w:sz w:val="28"/>
          <w:szCs w:val="28"/>
        </w:rPr>
        <w:t>产品供应商要求</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1、显示屏原厂生产厂家具有完善的质量管理体系、创新体系、环境保护体系、售后服务体系、自主创新优势及良好企业社会责任。</w:t>
      </w:r>
    </w:p>
    <w:p>
      <w:pPr>
        <w:pStyle w:val="2"/>
        <w:ind w:firstLine="560"/>
        <w:rPr>
          <w:rFonts w:ascii="宋体" w:hAnsi="宋体"/>
          <w:color w:val="000000"/>
          <w:sz w:val="28"/>
          <w:szCs w:val="28"/>
        </w:rPr>
      </w:pPr>
      <w:r>
        <w:rPr>
          <w:rFonts w:hint="eastAsia" w:ascii="宋体" w:hAnsi="宋体"/>
          <w:color w:val="000000"/>
          <w:sz w:val="28"/>
          <w:szCs w:val="28"/>
        </w:rPr>
        <w:t>2、★投标产品制造商需提供产品及平台开发体系CMMI5证书。</w:t>
      </w:r>
    </w:p>
    <w:p>
      <w:pPr>
        <w:pStyle w:val="2"/>
        <w:ind w:firstLine="560"/>
        <w:rPr>
          <w:rFonts w:ascii="宋体" w:hAnsi="宋体"/>
          <w:color w:val="000000"/>
          <w:sz w:val="28"/>
          <w:szCs w:val="28"/>
        </w:rPr>
      </w:pPr>
      <w:r>
        <w:rPr>
          <w:rFonts w:hint="eastAsia" w:ascii="宋体" w:hAnsi="宋体"/>
          <w:color w:val="000000"/>
          <w:sz w:val="28"/>
          <w:szCs w:val="28"/>
        </w:rPr>
        <w:t>3、★LED显示屏投标人或投标人所投的LED产品厂商应具备较强的合同执行诚信度和执行能力，提供由国家工商行政管理总局颁发的“守合同重信用”企业证书，提供相关证明复印件并加盖单位公章。</w:t>
      </w:r>
    </w:p>
    <w:p>
      <w:pPr>
        <w:pStyle w:val="2"/>
        <w:ind w:firstLine="560"/>
        <w:rPr>
          <w:rFonts w:ascii="宋体" w:hAnsi="宋体"/>
          <w:color w:val="000000"/>
          <w:sz w:val="28"/>
          <w:szCs w:val="28"/>
        </w:rPr>
      </w:pPr>
      <w:r>
        <w:rPr>
          <w:rFonts w:hint="eastAsia" w:ascii="宋体" w:hAnsi="宋体"/>
          <w:color w:val="000000"/>
          <w:sz w:val="28"/>
          <w:szCs w:val="28"/>
        </w:rPr>
        <w:t>4、★为保证系统安全性，保证相关单位具有专业的信息安全研发及较强的事件分析能力，投标人或投标人所投LED产品制造商可提供中国信息安全测评中心办法的国家信息安全漏洞库（CNNVD）技术支撑单位登记证书。</w:t>
      </w:r>
    </w:p>
    <w:p>
      <w:pPr>
        <w:pStyle w:val="2"/>
        <w:ind w:firstLine="560"/>
        <w:rPr>
          <w:rFonts w:ascii="宋体" w:hAnsi="宋体"/>
          <w:color w:val="000000"/>
          <w:sz w:val="28"/>
          <w:szCs w:val="28"/>
        </w:rPr>
      </w:pPr>
      <w:r>
        <w:rPr>
          <w:rFonts w:hint="eastAsia" w:ascii="宋体" w:hAnsi="宋体"/>
          <w:color w:val="000000"/>
          <w:sz w:val="28"/>
          <w:szCs w:val="28"/>
        </w:rPr>
        <w:t>5、★为保证本项目产品及服务的稳定性与可靠性，所投LED产品厂商具备ISO28000:2007供应链安全管理体系证书，提供相关证书复印件并加盖单位公章。</w:t>
      </w:r>
    </w:p>
    <w:p>
      <w:pPr>
        <w:pStyle w:val="2"/>
        <w:ind w:firstLine="560"/>
        <w:rPr>
          <w:rFonts w:ascii="宋体" w:hAnsi="宋体"/>
          <w:color w:val="000000" w:themeColor="text1"/>
          <w:sz w:val="28"/>
          <w:szCs w:val="28"/>
          <w14:textFill>
            <w14:solidFill>
              <w14:schemeClr w14:val="tx1"/>
            </w14:solidFill>
          </w14:textFill>
        </w:rPr>
      </w:pPr>
      <w:bookmarkStart w:id="7" w:name="_GoBack"/>
      <w:r>
        <w:rPr>
          <w:rFonts w:hint="eastAsia" w:ascii="宋体" w:hAnsi="宋体"/>
          <w:color w:val="000000" w:themeColor="text1"/>
          <w:sz w:val="28"/>
          <w:szCs w:val="28"/>
          <w14:textFill>
            <w14:solidFill>
              <w14:schemeClr w14:val="tx1"/>
            </w14:solidFill>
          </w14:textFill>
        </w:rPr>
        <w:t>6、★需提供制造厂家授权及三年售后服务函</w:t>
      </w:r>
    </w:p>
    <w:bookmarkEnd w:id="7"/>
    <w:p>
      <w:pPr>
        <w:pStyle w:val="2"/>
        <w:ind w:firstLine="560"/>
        <w:rPr>
          <w:rFonts w:ascii="宋体" w:hAnsi="宋体"/>
          <w:color w:val="000000"/>
          <w:sz w:val="28"/>
          <w:szCs w:val="28"/>
        </w:rPr>
      </w:pPr>
    </w:p>
    <w:p>
      <w:pPr>
        <w:pStyle w:val="4"/>
        <w:numPr>
          <w:ilvl w:val="1"/>
          <w:numId w:val="3"/>
        </w:numPr>
        <w:spacing w:before="0" w:after="0" w:line="360" w:lineRule="auto"/>
        <w:rPr>
          <w:rFonts w:ascii="宋体" w:hAnsi="宋体" w:eastAsia="宋体"/>
          <w:color w:val="000000"/>
          <w:sz w:val="28"/>
          <w:szCs w:val="28"/>
        </w:rPr>
      </w:pPr>
      <w:r>
        <w:rPr>
          <w:rFonts w:hint="eastAsia" w:ascii="宋体" w:hAnsi="宋体" w:eastAsia="宋体"/>
          <w:color w:val="000000"/>
          <w:sz w:val="28"/>
          <w:szCs w:val="28"/>
        </w:rPr>
        <w:t>设计依据要求</w:t>
      </w:r>
    </w:p>
    <w:p>
      <w:pPr>
        <w:ind w:firstLine="480"/>
        <w:rPr>
          <w:rFonts w:ascii="宋体" w:hAnsi="宋体"/>
          <w:sz w:val="28"/>
          <w:szCs w:val="28"/>
        </w:rPr>
      </w:pPr>
      <w:r>
        <w:rPr>
          <w:rFonts w:hint="eastAsia" w:ascii="宋体" w:hAnsi="宋体"/>
          <w:sz w:val="28"/>
          <w:szCs w:val="28"/>
        </w:rPr>
        <w:t>本项目依据以下规范设计：</w:t>
      </w:r>
    </w:p>
    <w:p>
      <w:pPr>
        <w:numPr>
          <w:ilvl w:val="0"/>
          <w:numId w:val="4"/>
        </w:numPr>
        <w:spacing w:line="360" w:lineRule="auto"/>
        <w:ind w:left="0" w:firstLine="480"/>
        <w:rPr>
          <w:rFonts w:ascii="宋体" w:hAnsi="宋体"/>
          <w:sz w:val="28"/>
          <w:szCs w:val="28"/>
        </w:rPr>
      </w:pPr>
      <w:r>
        <w:rPr>
          <w:rFonts w:hint="eastAsia" w:ascii="宋体" w:hAnsi="宋体"/>
          <w:sz w:val="28"/>
          <w:szCs w:val="28"/>
        </w:rPr>
        <w:t>《发光二极管(LED)显示屏通用规范》    SJ/T11141—2017</w:t>
      </w:r>
    </w:p>
    <w:p>
      <w:pPr>
        <w:numPr>
          <w:ilvl w:val="0"/>
          <w:numId w:val="4"/>
        </w:numPr>
        <w:spacing w:line="360" w:lineRule="auto"/>
        <w:ind w:left="0" w:firstLine="480"/>
        <w:rPr>
          <w:rFonts w:ascii="宋体" w:hAnsi="宋体"/>
          <w:sz w:val="28"/>
          <w:szCs w:val="28"/>
        </w:rPr>
      </w:pPr>
      <w:r>
        <w:rPr>
          <w:rFonts w:hint="eastAsia" w:ascii="宋体" w:hAnsi="宋体"/>
          <w:sz w:val="28"/>
          <w:szCs w:val="28"/>
        </w:rPr>
        <w:t>《LED显示屏测试方法》</w:t>
      </w:r>
    </w:p>
    <w:p>
      <w:pPr>
        <w:numPr>
          <w:ilvl w:val="0"/>
          <w:numId w:val="4"/>
        </w:numPr>
        <w:spacing w:line="360" w:lineRule="auto"/>
        <w:ind w:left="0" w:firstLine="480"/>
        <w:rPr>
          <w:rFonts w:ascii="宋体" w:hAnsi="宋体"/>
          <w:sz w:val="28"/>
          <w:szCs w:val="28"/>
        </w:rPr>
      </w:pPr>
      <w:r>
        <w:rPr>
          <w:rFonts w:ascii="宋体" w:hAnsi="宋体"/>
          <w:sz w:val="28"/>
          <w:szCs w:val="28"/>
        </w:rPr>
        <w:t>《计算机信息系统安全保护等级划分准则》</w:t>
      </w:r>
      <w:r>
        <w:rPr>
          <w:rFonts w:hint="eastAsia" w:ascii="宋体" w:hAnsi="宋体"/>
          <w:sz w:val="28"/>
          <w:szCs w:val="28"/>
        </w:rPr>
        <w:t xml:space="preserve"> GB17859-1999</w:t>
      </w:r>
    </w:p>
    <w:p>
      <w:pPr>
        <w:numPr>
          <w:ilvl w:val="0"/>
          <w:numId w:val="4"/>
        </w:numPr>
        <w:spacing w:line="360" w:lineRule="auto"/>
        <w:ind w:left="0" w:firstLine="480"/>
        <w:rPr>
          <w:rFonts w:ascii="宋体" w:hAnsi="宋体"/>
          <w:sz w:val="28"/>
          <w:szCs w:val="28"/>
        </w:rPr>
      </w:pPr>
      <w:r>
        <w:rPr>
          <w:rFonts w:ascii="宋体" w:hAnsi="宋体"/>
          <w:sz w:val="28"/>
          <w:szCs w:val="28"/>
        </w:rPr>
        <w:t>《电力子操作工作站机房设计规范》GB50174-93</w:t>
      </w:r>
    </w:p>
    <w:p>
      <w:pPr>
        <w:numPr>
          <w:ilvl w:val="0"/>
          <w:numId w:val="4"/>
        </w:numPr>
        <w:spacing w:line="360" w:lineRule="auto"/>
        <w:ind w:left="0" w:firstLine="480"/>
        <w:rPr>
          <w:rFonts w:ascii="宋体" w:hAnsi="宋体"/>
          <w:sz w:val="28"/>
          <w:szCs w:val="28"/>
        </w:rPr>
      </w:pPr>
      <w:r>
        <w:rPr>
          <w:rFonts w:ascii="宋体" w:hAnsi="宋体"/>
          <w:sz w:val="28"/>
          <w:szCs w:val="28"/>
        </w:rPr>
        <w:t>《国际串行通讯标准》EIARS-232-C</w:t>
      </w:r>
    </w:p>
    <w:p>
      <w:pPr>
        <w:numPr>
          <w:ilvl w:val="0"/>
          <w:numId w:val="4"/>
        </w:numPr>
        <w:spacing w:line="360" w:lineRule="auto"/>
        <w:ind w:left="0" w:firstLine="480"/>
        <w:rPr>
          <w:rFonts w:ascii="宋体" w:hAnsi="宋体"/>
          <w:sz w:val="28"/>
          <w:szCs w:val="28"/>
        </w:rPr>
      </w:pPr>
      <w:r>
        <w:rPr>
          <w:rFonts w:ascii="宋体" w:hAnsi="宋体"/>
          <w:sz w:val="28"/>
          <w:szCs w:val="28"/>
        </w:rPr>
        <w:t>《工业操作工作站系统安装环境条件》ZBN18-001</w:t>
      </w:r>
    </w:p>
    <w:p>
      <w:pPr>
        <w:numPr>
          <w:ilvl w:val="0"/>
          <w:numId w:val="4"/>
        </w:numPr>
        <w:spacing w:line="360" w:lineRule="auto"/>
        <w:ind w:left="0" w:firstLine="480"/>
        <w:rPr>
          <w:rFonts w:ascii="宋体" w:hAnsi="宋体"/>
          <w:sz w:val="28"/>
          <w:szCs w:val="28"/>
        </w:rPr>
      </w:pPr>
      <w:r>
        <w:rPr>
          <w:rFonts w:ascii="宋体" w:hAnsi="宋体"/>
          <w:sz w:val="28"/>
          <w:szCs w:val="28"/>
        </w:rPr>
        <w:t>《电磁兼容》GB/T17626</w:t>
      </w:r>
    </w:p>
    <w:p>
      <w:pPr>
        <w:numPr>
          <w:ilvl w:val="0"/>
          <w:numId w:val="4"/>
        </w:numPr>
        <w:spacing w:line="360" w:lineRule="auto"/>
        <w:ind w:left="0" w:firstLine="480"/>
        <w:rPr>
          <w:rFonts w:ascii="宋体" w:hAnsi="宋体"/>
          <w:sz w:val="28"/>
          <w:szCs w:val="28"/>
        </w:rPr>
      </w:pPr>
      <w:r>
        <w:rPr>
          <w:rFonts w:hint="eastAsia" w:ascii="宋体" w:hAnsi="宋体"/>
          <w:sz w:val="28"/>
          <w:szCs w:val="28"/>
        </w:rPr>
        <w:t>《远动设备及系统 第2部分:工作条件 第1篇:电源和电磁兼容性》 GB/T 15153.1-1998</w:t>
      </w:r>
    </w:p>
    <w:p>
      <w:pPr>
        <w:numPr>
          <w:ilvl w:val="0"/>
          <w:numId w:val="4"/>
        </w:numPr>
        <w:spacing w:line="360" w:lineRule="auto"/>
        <w:ind w:left="0" w:firstLine="480"/>
        <w:rPr>
          <w:rFonts w:ascii="宋体" w:hAnsi="宋体"/>
          <w:sz w:val="28"/>
          <w:szCs w:val="28"/>
        </w:rPr>
      </w:pPr>
      <w:r>
        <w:rPr>
          <w:rFonts w:hint="eastAsia" w:ascii="宋体" w:hAnsi="宋体"/>
          <w:sz w:val="28"/>
          <w:szCs w:val="28"/>
        </w:rPr>
        <w:t>《远动设备及系统 第2部分:工作条件 第2篇:环境条件 (气候、机械和其他非电影响因素) 》    GB/T 15153.2-2000</w:t>
      </w:r>
    </w:p>
    <w:p>
      <w:pPr>
        <w:numPr>
          <w:ilvl w:val="0"/>
          <w:numId w:val="4"/>
        </w:numPr>
        <w:spacing w:line="360" w:lineRule="auto"/>
        <w:ind w:left="0" w:firstLine="480"/>
        <w:rPr>
          <w:rFonts w:ascii="宋体" w:hAnsi="宋体"/>
          <w:sz w:val="28"/>
          <w:szCs w:val="28"/>
        </w:rPr>
      </w:pPr>
      <w:r>
        <w:rPr>
          <w:rFonts w:ascii="宋体" w:hAnsi="宋体"/>
          <w:sz w:val="28"/>
          <w:szCs w:val="28"/>
        </w:rPr>
        <w:t>国家标准《建筑物防雷设计规范》 GB50057-94</w:t>
      </w:r>
    </w:p>
    <w:p>
      <w:pPr>
        <w:numPr>
          <w:ilvl w:val="0"/>
          <w:numId w:val="4"/>
        </w:numPr>
        <w:spacing w:line="360" w:lineRule="auto"/>
        <w:ind w:left="0" w:firstLine="480"/>
        <w:rPr>
          <w:rFonts w:ascii="宋体" w:hAnsi="宋体"/>
          <w:sz w:val="28"/>
          <w:szCs w:val="28"/>
        </w:rPr>
      </w:pPr>
      <w:r>
        <w:rPr>
          <w:rFonts w:hint="eastAsia" w:ascii="宋体" w:hAnsi="宋体"/>
          <w:sz w:val="28"/>
          <w:szCs w:val="28"/>
        </w:rPr>
        <w:t>《计算机信息系统防雷保安器》     GA 173-2012</w:t>
      </w:r>
    </w:p>
    <w:p>
      <w:pPr>
        <w:numPr>
          <w:ilvl w:val="0"/>
          <w:numId w:val="4"/>
        </w:numPr>
        <w:spacing w:line="360" w:lineRule="auto"/>
        <w:ind w:left="0" w:firstLine="480"/>
        <w:rPr>
          <w:rFonts w:ascii="宋体" w:hAnsi="宋体"/>
          <w:sz w:val="28"/>
          <w:szCs w:val="28"/>
        </w:rPr>
      </w:pPr>
      <w:r>
        <w:rPr>
          <w:rFonts w:ascii="宋体" w:hAnsi="宋体"/>
          <w:sz w:val="28"/>
          <w:szCs w:val="28"/>
        </w:rPr>
        <w:t>《建筑电气设计技术规程》 　JDJ16-83</w:t>
      </w:r>
    </w:p>
    <w:p>
      <w:pPr>
        <w:numPr>
          <w:ilvl w:val="0"/>
          <w:numId w:val="4"/>
        </w:numPr>
        <w:spacing w:line="360" w:lineRule="auto"/>
        <w:ind w:left="0" w:firstLine="480"/>
        <w:rPr>
          <w:rFonts w:ascii="宋体" w:hAnsi="宋体"/>
          <w:sz w:val="28"/>
          <w:szCs w:val="28"/>
        </w:rPr>
      </w:pPr>
      <w:r>
        <w:rPr>
          <w:rFonts w:ascii="宋体" w:hAnsi="宋体"/>
          <w:sz w:val="28"/>
          <w:szCs w:val="28"/>
        </w:rPr>
        <w:t>《民用建筑电气设计规范》JGJT 16-2016</w:t>
      </w:r>
    </w:p>
    <w:p>
      <w:pPr>
        <w:numPr>
          <w:ilvl w:val="0"/>
          <w:numId w:val="4"/>
        </w:numPr>
        <w:spacing w:line="360" w:lineRule="auto"/>
        <w:ind w:left="0" w:firstLine="480"/>
        <w:rPr>
          <w:rFonts w:ascii="宋体" w:hAnsi="宋体"/>
          <w:sz w:val="28"/>
          <w:szCs w:val="28"/>
        </w:rPr>
      </w:pPr>
      <w:r>
        <w:rPr>
          <w:rFonts w:ascii="宋体" w:hAnsi="宋体"/>
          <w:sz w:val="28"/>
          <w:szCs w:val="28"/>
        </w:rPr>
        <w:t>《电气装置安装工程 接地装置施工及验收规范》GB 50169-2016</w:t>
      </w:r>
    </w:p>
    <w:p>
      <w:pPr>
        <w:numPr>
          <w:ilvl w:val="0"/>
          <w:numId w:val="4"/>
        </w:numPr>
        <w:spacing w:line="360" w:lineRule="auto"/>
        <w:ind w:left="0" w:firstLine="480"/>
        <w:rPr>
          <w:rFonts w:ascii="宋体" w:hAnsi="宋体"/>
          <w:sz w:val="28"/>
          <w:szCs w:val="28"/>
        </w:rPr>
      </w:pPr>
      <w:r>
        <w:rPr>
          <w:rFonts w:hint="eastAsia" w:ascii="宋体" w:hAnsi="宋体"/>
          <w:sz w:val="28"/>
          <w:szCs w:val="28"/>
        </w:rPr>
        <w:t>《数据中心设计规范》    GB 50174-2017</w:t>
      </w:r>
    </w:p>
    <w:p>
      <w:pPr>
        <w:numPr>
          <w:ilvl w:val="0"/>
          <w:numId w:val="4"/>
        </w:numPr>
        <w:spacing w:line="360" w:lineRule="auto"/>
        <w:ind w:left="0" w:firstLine="480"/>
        <w:rPr>
          <w:rFonts w:ascii="宋体" w:hAnsi="宋体"/>
          <w:sz w:val="28"/>
          <w:szCs w:val="28"/>
        </w:rPr>
      </w:pPr>
      <w:r>
        <w:rPr>
          <w:rFonts w:ascii="宋体" w:hAnsi="宋体"/>
          <w:sz w:val="28"/>
          <w:szCs w:val="28"/>
        </w:rPr>
        <w:t>《低压配电设计规范》GB50054-2011</w:t>
      </w:r>
    </w:p>
    <w:p>
      <w:pPr>
        <w:numPr>
          <w:ilvl w:val="0"/>
          <w:numId w:val="4"/>
        </w:numPr>
        <w:spacing w:line="360" w:lineRule="auto"/>
        <w:ind w:left="0" w:firstLine="480"/>
        <w:rPr>
          <w:rFonts w:ascii="宋体" w:hAnsi="宋体"/>
          <w:sz w:val="28"/>
          <w:szCs w:val="28"/>
        </w:rPr>
      </w:pPr>
      <w:r>
        <w:rPr>
          <w:rFonts w:hint="eastAsia" w:ascii="宋体" w:hAnsi="宋体"/>
          <w:sz w:val="28"/>
          <w:szCs w:val="28"/>
        </w:rPr>
        <w:t>《建筑照明设计标准》    GB 50034-2013</w:t>
      </w:r>
    </w:p>
    <w:p>
      <w:pPr>
        <w:rPr>
          <w:rFonts w:ascii="宋体" w:hAnsi="宋体"/>
          <w:sz w:val="28"/>
          <w:szCs w:val="28"/>
        </w:rPr>
      </w:pPr>
    </w:p>
    <w:p>
      <w:pPr>
        <w:pStyle w:val="3"/>
        <w:numPr>
          <w:ilvl w:val="0"/>
          <w:numId w:val="2"/>
        </w:numPr>
        <w:spacing w:before="0" w:after="0" w:line="360" w:lineRule="auto"/>
        <w:jc w:val="center"/>
        <w:rPr>
          <w:rFonts w:ascii="宋体" w:hAnsi="宋体"/>
          <w:color w:val="000000"/>
          <w:sz w:val="28"/>
          <w:szCs w:val="28"/>
        </w:rPr>
      </w:pPr>
      <w:r>
        <w:rPr>
          <w:rFonts w:hint="eastAsia" w:ascii="宋体" w:hAnsi="宋体"/>
          <w:color w:val="000000"/>
          <w:sz w:val="28"/>
          <w:szCs w:val="28"/>
        </w:rPr>
        <w:t>整体方案设计要求</w:t>
      </w:r>
    </w:p>
    <w:p>
      <w:pPr>
        <w:pStyle w:val="4"/>
        <w:spacing w:before="0" w:after="0" w:line="360" w:lineRule="auto"/>
        <w:rPr>
          <w:rFonts w:ascii="宋体" w:hAnsi="宋体" w:eastAsia="宋体"/>
          <w:color w:val="000000"/>
          <w:sz w:val="28"/>
          <w:szCs w:val="28"/>
        </w:rPr>
      </w:pPr>
      <w:r>
        <w:rPr>
          <w:rFonts w:hint="eastAsia" w:ascii="宋体" w:hAnsi="宋体" w:eastAsia="宋体"/>
          <w:color w:val="000000"/>
          <w:sz w:val="28"/>
          <w:szCs w:val="28"/>
        </w:rPr>
        <w:t>2.</w:t>
      </w:r>
      <w:r>
        <w:rPr>
          <w:rFonts w:ascii="宋体" w:hAnsi="宋体" w:eastAsia="宋体"/>
          <w:color w:val="000000"/>
          <w:sz w:val="28"/>
          <w:szCs w:val="28"/>
        </w:rPr>
        <w:t>1</w:t>
      </w:r>
      <w:r>
        <w:rPr>
          <w:rFonts w:hint="eastAsia" w:ascii="宋体" w:hAnsi="宋体" w:eastAsia="宋体"/>
          <w:color w:val="000000"/>
          <w:sz w:val="28"/>
          <w:szCs w:val="28"/>
        </w:rPr>
        <w:t>系统整体架构要求</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本项目要求以丰富的大屏项目实施经验和先进的技术理念为基础，为我矿量身打造整套LED全彩屏系统解决方案。</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本项目要求显示系统屏幕采用不大于P1.</w:t>
      </w:r>
      <w:r>
        <w:rPr>
          <w:rFonts w:ascii="宋体" w:hAnsi="宋体" w:cs="Times New Roman"/>
          <w:color w:val="000000"/>
          <w:sz w:val="28"/>
          <w:szCs w:val="28"/>
        </w:rPr>
        <w:t>5</w:t>
      </w:r>
      <w:r>
        <w:rPr>
          <w:rFonts w:hint="eastAsia" w:ascii="宋体" w:hAnsi="宋体" w:cs="Times New Roman"/>
          <w:color w:val="000000"/>
          <w:sz w:val="28"/>
          <w:szCs w:val="28"/>
        </w:rPr>
        <w:t>产品，像素间距不大于1.57mm，单位像素为表贴三合一LED，使用标准LED显示单元组成。小间距产品一体成型的压铸铝工艺，最大限度地保证了屏幕安装拼接精度和耐久度，并还具有图像无拼缝，静音，轻薄等特点。LED小间距屏幕物理像素间距小，单位面积内的像素密数量非常多，可以在很近距离观看并且没有颗粒感。</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如图所示，本项目整套系统要求主要由三部分组成，分为LED全彩显示屏、图像处理系统及管理控制系统。除了这些主要部分，根据项目具体实施情况，系统还应包括配电系统等。</w:t>
      </w:r>
    </w:p>
    <w:p>
      <w:pPr>
        <w:tabs>
          <w:tab w:val="left" w:pos="1800"/>
        </w:tabs>
        <w:jc w:val="center"/>
        <w:rPr>
          <w:rFonts w:ascii="宋体" w:hAnsi="宋体"/>
          <w:sz w:val="28"/>
          <w:szCs w:val="28"/>
        </w:rPr>
      </w:pPr>
      <w:r>
        <w:rPr>
          <w:rFonts w:ascii="宋体" w:hAnsi="宋体"/>
          <w:sz w:val="28"/>
          <w:szCs w:val="28"/>
        </w:rPr>
        <w:drawing>
          <wp:inline distT="0" distB="0" distL="0" distR="0">
            <wp:extent cx="3486150" cy="3624580"/>
            <wp:effectExtent l="0" t="0" r="0" b="0"/>
            <wp:docPr id="2" name="图片 2" descr="C:\Users\admin\AppData\Local\Temp\WeChat Files\c0d221601d51f457917e026c697d4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AppData\Local\Temp\WeChat Files\c0d221601d51f457917e026c697d4c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85043" cy="3624032"/>
                    </a:xfrm>
                    <a:prstGeom prst="rect">
                      <a:avLst/>
                    </a:prstGeom>
                    <a:noFill/>
                    <a:ln>
                      <a:noFill/>
                    </a:ln>
                  </pic:spPr>
                </pic:pic>
              </a:graphicData>
            </a:graphic>
          </wp:inline>
        </w:drawing>
      </w:r>
    </w:p>
    <w:p>
      <w:pPr>
        <w:pStyle w:val="6"/>
        <w:numPr>
          <w:ilvl w:val="0"/>
          <w:numId w:val="0"/>
        </w:numPr>
        <w:ind w:left="420"/>
        <w:rPr>
          <w:rFonts w:ascii="宋体" w:hAnsi="宋体"/>
          <w:sz w:val="28"/>
          <w:szCs w:val="28"/>
        </w:rPr>
      </w:pPr>
      <w:r>
        <w:rPr>
          <w:rFonts w:hint="eastAsia" w:ascii="宋体" w:hAnsi="宋体"/>
          <w:sz w:val="28"/>
          <w:szCs w:val="28"/>
        </w:rPr>
        <w:t>系统整体拓扑图</w:t>
      </w:r>
    </w:p>
    <w:p>
      <w:pPr>
        <w:rPr>
          <w:rFonts w:ascii="宋体" w:hAnsi="宋体"/>
          <w:sz w:val="28"/>
          <w:szCs w:val="28"/>
        </w:rPr>
      </w:pPr>
      <w:r>
        <w:drawing>
          <wp:inline distT="0" distB="0" distL="0" distR="0">
            <wp:extent cx="5765800" cy="2794635"/>
            <wp:effectExtent l="0" t="0" r="10160" b="9525"/>
            <wp:docPr id="3" name="图片 3" descr="C:\Users\admin\AppData\Local\Temp\WeChat Files\db0f15961d93a29fbd5fc4d1f18a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AppData\Local\Temp\WeChat Files\db0f15961d93a29fbd5fc4d1f18a66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773983" cy="2799087"/>
                    </a:xfrm>
                    <a:prstGeom prst="rect">
                      <a:avLst/>
                    </a:prstGeom>
                    <a:noFill/>
                    <a:ln>
                      <a:noFill/>
                    </a:ln>
                  </pic:spPr>
                </pic:pic>
              </a:graphicData>
            </a:graphic>
          </wp:inline>
        </w:drawing>
      </w:r>
    </w:p>
    <w:p>
      <w:pPr>
        <w:pStyle w:val="6"/>
        <w:numPr>
          <w:ilvl w:val="0"/>
          <w:numId w:val="0"/>
        </w:numPr>
        <w:ind w:left="420"/>
        <w:rPr>
          <w:rFonts w:ascii="宋体" w:hAnsi="宋体"/>
          <w:sz w:val="28"/>
          <w:szCs w:val="28"/>
        </w:rPr>
      </w:pPr>
      <w:r>
        <w:rPr>
          <w:rFonts w:hint="eastAsia" w:ascii="宋体" w:hAnsi="宋体"/>
          <w:sz w:val="28"/>
          <w:szCs w:val="28"/>
        </w:rPr>
        <w:t>LED显示屏效果图</w:t>
      </w:r>
    </w:p>
    <w:p>
      <w:pPr>
        <w:pStyle w:val="4"/>
        <w:numPr>
          <w:ilvl w:val="1"/>
          <w:numId w:val="5"/>
        </w:numPr>
        <w:spacing w:before="120" w:after="120" w:line="360" w:lineRule="auto"/>
        <w:rPr>
          <w:rFonts w:ascii="宋体" w:hAnsi="宋体" w:eastAsia="宋体"/>
          <w:color w:val="000000"/>
          <w:sz w:val="28"/>
          <w:szCs w:val="28"/>
        </w:rPr>
      </w:pPr>
      <w:r>
        <w:rPr>
          <w:rFonts w:hint="eastAsia" w:ascii="宋体" w:hAnsi="宋体" w:eastAsia="宋体"/>
          <w:color w:val="000000"/>
          <w:sz w:val="28"/>
          <w:szCs w:val="28"/>
        </w:rPr>
        <w:t>图像处理系统设计</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图像处理系统是整个LED全彩屏显示系统的核心控制部分，负责对不同的前端信号做高品质的图像处理，并将信号输出至全彩显示屏进行显示。</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本方案采用视频综合平台作为图像处理系统的核心设备，视频综合平台参考ATCA(Advanced Telecommunications Computing Architecture 高级电信计算架构)标准设计，支持模拟及数字视频输入、模拟及数字矩阵切换、视频拼接控制管理、高清数字视频输出等功能，是一款集图像处理、网络功能、日志管理、客户和权限管理、设备维护于一体的视频综合处理交换平台。</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前端多种类型的视频输入信号，通过视频综合平台相应的视频输入板，实现信号的输入和编码（编码后的码流可网络预览，也可存储），通过输出板实现视频信号输出，支持拼接、分割、漫游等多种显示模式。LED控制器接受DVI信号，驱动LED显示屏显示。</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视频综合平台真正实现了矩阵切换、业务应用、存储、解码的大集成，可以轻松实现模拟前端、IP前端、数字高清前端和混合前端等多种监控网络的接入，升级扩容简洁、系统改造方便、设备高度集成，使得整个图像处理系统达到电信级的稳定性和可靠性。</w:t>
      </w:r>
    </w:p>
    <w:p>
      <w:pPr>
        <w:pStyle w:val="4"/>
        <w:numPr>
          <w:ilvl w:val="1"/>
          <w:numId w:val="5"/>
        </w:numPr>
        <w:spacing w:before="120" w:after="120" w:line="360" w:lineRule="auto"/>
        <w:rPr>
          <w:rFonts w:ascii="宋体" w:hAnsi="宋体" w:eastAsia="宋体"/>
          <w:color w:val="000000"/>
          <w:sz w:val="28"/>
          <w:szCs w:val="28"/>
        </w:rPr>
      </w:pPr>
      <w:r>
        <w:rPr>
          <w:rFonts w:hint="eastAsia" w:ascii="宋体" w:hAnsi="宋体" w:eastAsia="宋体"/>
          <w:color w:val="000000"/>
          <w:sz w:val="28"/>
          <w:szCs w:val="28"/>
        </w:rPr>
        <w:t>集中控制管理系统设计</w:t>
      </w:r>
    </w:p>
    <w:p>
      <w:pPr>
        <w:pStyle w:val="5"/>
        <w:tabs>
          <w:tab w:val="left" w:pos="709"/>
        </w:tabs>
        <w:spacing w:before="156" w:after="156"/>
        <w:rPr>
          <w:rFonts w:ascii="宋体" w:hAnsi="宋体"/>
          <w:sz w:val="28"/>
          <w:szCs w:val="28"/>
        </w:rPr>
      </w:pPr>
      <w:bookmarkStart w:id="3" w:name="_Toc523479275"/>
      <w:bookmarkStart w:id="4" w:name="_Toc53766261"/>
      <w:r>
        <w:rPr>
          <w:rFonts w:hint="eastAsia" w:ascii="宋体" w:hAnsi="宋体"/>
          <w:sz w:val="28"/>
          <w:szCs w:val="28"/>
        </w:rPr>
        <w:t>2.3.</w:t>
      </w:r>
      <w:r>
        <w:rPr>
          <w:rFonts w:ascii="宋体" w:hAnsi="宋体"/>
          <w:sz w:val="28"/>
          <w:szCs w:val="28"/>
        </w:rPr>
        <w:t>1</w:t>
      </w:r>
      <w:r>
        <w:rPr>
          <w:rFonts w:hint="eastAsia" w:ascii="宋体" w:hAnsi="宋体"/>
          <w:sz w:val="28"/>
          <w:szCs w:val="28"/>
        </w:rPr>
        <w:t>智能大屏管理平台</w:t>
      </w:r>
    </w:p>
    <w:bookmarkEnd w:id="3"/>
    <w:bookmarkEnd w:id="4"/>
    <w:p>
      <w:pPr>
        <w:pStyle w:val="27"/>
        <w:ind w:firstLine="560"/>
        <w:rPr>
          <w:rFonts w:ascii="宋体" w:hAnsi="宋体" w:cs="Times New Roman"/>
          <w:color w:val="000000"/>
          <w:sz w:val="28"/>
          <w:szCs w:val="28"/>
        </w:rPr>
      </w:pPr>
      <w:r>
        <w:rPr>
          <w:rFonts w:hint="eastAsia" w:ascii="宋体" w:hAnsi="宋体" w:cs="Times New Roman"/>
          <w:color w:val="000000"/>
          <w:sz w:val="28"/>
          <w:szCs w:val="28"/>
        </w:rPr>
        <w:t>主要是大屏显控和环境中控，提供大屏门户式的内容渲染和显示控制，可以将视频、PPT、可视化、AR\VR、GIS地图以及业务系统等内容投放到大屏上，并且通过远程桌面和消息机制进行操控，致力于打造智能化控制中心。</w:t>
      </w:r>
    </w:p>
    <w:p>
      <w:pPr>
        <w:pStyle w:val="27"/>
        <w:ind w:firstLine="560"/>
        <w:rPr>
          <w:rFonts w:ascii="宋体" w:hAnsi="宋体" w:cs="Times New Roman"/>
          <w:color w:val="000000"/>
          <w:sz w:val="28"/>
          <w:szCs w:val="28"/>
        </w:rPr>
      </w:pPr>
      <w:bookmarkStart w:id="5" w:name="_Toc393806609"/>
      <w:bookmarkStart w:id="6" w:name="_Toc451864347"/>
      <w:r>
        <w:rPr>
          <w:rFonts w:hint="eastAsia" w:ascii="宋体" w:hAnsi="宋体" w:cs="Times New Roman"/>
          <w:color w:val="000000"/>
          <w:sz w:val="28"/>
          <w:szCs w:val="28"/>
        </w:rPr>
        <w:t>功能特点</w:t>
      </w:r>
      <w:bookmarkEnd w:id="5"/>
      <w:bookmarkEnd w:id="6"/>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大屏门户：可对大屏配置门户界面，并对门户中的菜单进行配置，自定义菜单内容和跳转链接。</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多屏互动：通过会议平板、PC电脑、surface平板一键能切换多屏幕布局、并可以对具体屏幕进行精确操控、精细布局等，支持会议平板显示和控制一体化。</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内容播控：可统一操控拼接大屏、播控大屏、会议平板等设备，只要是windows的操作系统即可。支持网页、视频、图片、office、pdf、AR/VR、数据可视化等内容上屏，可控制视频播放进度、PPT翻页，远程操控可视化网页、AR、VR、第三方业务系统等，</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环境中控：通过平板和语音控制大屏场景切换，大屏开关，灯光、空调、音箱、投影、幕布等中控设备。</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跨屏式多桌面：可使用</w:t>
      </w:r>
      <w:r>
        <w:rPr>
          <w:rFonts w:ascii="宋体" w:hAnsi="宋体" w:cs="Times New Roman"/>
          <w:color w:val="000000"/>
          <w:sz w:val="28"/>
          <w:szCs w:val="28"/>
        </w:rPr>
        <w:t>1</w:t>
      </w:r>
      <w:r>
        <w:rPr>
          <w:rFonts w:hint="eastAsia" w:ascii="宋体" w:hAnsi="宋体" w:cs="Times New Roman"/>
          <w:color w:val="000000"/>
          <w:sz w:val="28"/>
          <w:szCs w:val="28"/>
        </w:rPr>
        <w:t>台超高分对应多块大屏，分别控制每块大屏中的内容切换以及音频播放。可减少信号源的设备数量，减少占用空间。</w:t>
      </w:r>
    </w:p>
    <w:p>
      <w:pPr>
        <w:ind w:firstLine="480"/>
        <w:rPr>
          <w:rFonts w:ascii="宋体" w:hAnsi="宋体"/>
          <w:sz w:val="28"/>
          <w:szCs w:val="28"/>
        </w:rPr>
      </w:pPr>
      <w:r>
        <w:rPr>
          <w:rFonts w:ascii="宋体" w:hAnsi="宋体"/>
          <w:sz w:val="28"/>
          <w:szCs w:val="28"/>
        </w:rPr>
        <w:drawing>
          <wp:inline distT="0" distB="0" distL="114300" distR="114300">
            <wp:extent cx="5269230" cy="2337435"/>
            <wp:effectExtent l="0" t="0" r="381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69230" cy="2337435"/>
                    </a:xfrm>
                    <a:prstGeom prst="rect">
                      <a:avLst/>
                    </a:prstGeom>
                    <a:noFill/>
                    <a:ln>
                      <a:noFill/>
                    </a:ln>
                  </pic:spPr>
                </pic:pic>
              </a:graphicData>
            </a:graphic>
          </wp:inline>
        </w:drawing>
      </w:r>
    </w:p>
    <w:p>
      <w:pPr>
        <w:pStyle w:val="6"/>
        <w:numPr>
          <w:ilvl w:val="0"/>
          <w:numId w:val="0"/>
        </w:numPr>
        <w:ind w:left="420"/>
        <w:rPr>
          <w:rFonts w:ascii="宋体" w:hAnsi="宋体"/>
          <w:sz w:val="28"/>
          <w:szCs w:val="28"/>
        </w:rPr>
      </w:pPr>
      <w:r>
        <w:rPr>
          <w:rFonts w:hint="eastAsia" w:ascii="宋体" w:hAnsi="宋体"/>
          <w:sz w:val="28"/>
          <w:szCs w:val="28"/>
          <w:lang w:val="en-US"/>
        </w:rPr>
        <w:t>产品特色</w:t>
      </w:r>
      <w:r>
        <w:rPr>
          <w:rFonts w:hint="eastAsia" w:ascii="宋体" w:hAnsi="宋体"/>
          <w:sz w:val="28"/>
          <w:szCs w:val="28"/>
        </w:rPr>
        <w:t>界面图</w:t>
      </w:r>
    </w:p>
    <w:p>
      <w:pPr>
        <w:pStyle w:val="5"/>
        <w:tabs>
          <w:tab w:val="left" w:pos="709"/>
        </w:tabs>
        <w:spacing w:before="156" w:after="156"/>
        <w:rPr>
          <w:rFonts w:ascii="宋体" w:hAnsi="宋体"/>
          <w:sz w:val="28"/>
          <w:szCs w:val="28"/>
        </w:rPr>
      </w:pPr>
      <w:r>
        <w:rPr>
          <w:rFonts w:hint="eastAsia" w:ascii="宋体" w:hAnsi="宋体"/>
          <w:sz w:val="28"/>
          <w:szCs w:val="28"/>
        </w:rPr>
        <w:t>2.3.2移动客户端</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视频综合平台还应提供iPad移动客户端，方便客户进行操作，实现显示屏控制功能，包括图像上墙、信号切换、画面放大缩小、信号移除、预案一键上墙等。</w:t>
      </w:r>
    </w:p>
    <w:p>
      <w:pPr>
        <w:pStyle w:val="27"/>
        <w:ind w:firstLine="560"/>
        <w:rPr>
          <w:rFonts w:ascii="宋体" w:hAnsi="宋体" w:cs="Times New Roman"/>
          <w:color w:val="000000"/>
          <w:sz w:val="28"/>
          <w:szCs w:val="28"/>
        </w:rPr>
      </w:pPr>
      <w:r>
        <w:rPr>
          <w:rFonts w:hint="eastAsia" w:ascii="宋体" w:hAnsi="宋体" w:cs="Times New Roman"/>
          <w:color w:val="000000"/>
          <w:sz w:val="28"/>
          <w:szCs w:val="28"/>
        </w:rPr>
        <w:t>针对iPad触控、单指拖放、双指缩放、双击、单击等操作特性，提供了简单易用的操作方式。整个客户端操作简便、界面美观友好、图标像素精致、运行流畅稳定。</w:t>
      </w:r>
    </w:p>
    <w:p>
      <w:pPr>
        <w:ind w:firstLine="480"/>
        <w:jc w:val="center"/>
        <w:rPr>
          <w:rFonts w:ascii="宋体" w:hAnsi="宋体"/>
          <w:sz w:val="28"/>
          <w:szCs w:val="28"/>
        </w:rPr>
      </w:pPr>
      <w:r>
        <w:rPr>
          <w:rFonts w:ascii="宋体" w:hAnsi="宋体"/>
          <w:sz w:val="28"/>
          <w:szCs w:val="28"/>
        </w:rPr>
        <w:drawing>
          <wp:inline distT="0" distB="0" distL="0" distR="0">
            <wp:extent cx="3880485" cy="2391410"/>
            <wp:effectExtent l="0" t="0" r="5715" b="889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80485" cy="2391410"/>
                    </a:xfrm>
                    <a:prstGeom prst="rect">
                      <a:avLst/>
                    </a:prstGeom>
                    <a:noFill/>
                    <a:ln>
                      <a:noFill/>
                    </a:ln>
                  </pic:spPr>
                </pic:pic>
              </a:graphicData>
            </a:graphic>
          </wp:inline>
        </w:drawing>
      </w:r>
    </w:p>
    <w:p>
      <w:pPr>
        <w:pStyle w:val="6"/>
        <w:numPr>
          <w:ilvl w:val="0"/>
          <w:numId w:val="0"/>
        </w:numPr>
        <w:ind w:left="420"/>
        <w:rPr>
          <w:rFonts w:ascii="宋体" w:hAnsi="宋体"/>
          <w:sz w:val="28"/>
          <w:szCs w:val="28"/>
        </w:rPr>
      </w:pPr>
      <w:r>
        <w:rPr>
          <w:rFonts w:hint="eastAsia" w:ascii="宋体" w:hAnsi="宋体"/>
          <w:sz w:val="28"/>
          <w:szCs w:val="28"/>
        </w:rPr>
        <w:t>iPad控制客户端</w:t>
      </w:r>
    </w:p>
    <w:p>
      <w:pPr>
        <w:rPr>
          <w:rFonts w:ascii="宋体" w:hAnsi="宋体"/>
          <w:sz w:val="28"/>
          <w:szCs w:val="28"/>
        </w:rPr>
      </w:pPr>
    </w:p>
    <w:p>
      <w:pPr>
        <w:pStyle w:val="3"/>
        <w:numPr>
          <w:ilvl w:val="0"/>
          <w:numId w:val="2"/>
        </w:numPr>
        <w:spacing w:before="0" w:after="0" w:line="360" w:lineRule="auto"/>
        <w:jc w:val="center"/>
        <w:rPr>
          <w:rFonts w:ascii="宋体" w:hAnsi="宋体"/>
          <w:color w:val="000000"/>
          <w:sz w:val="28"/>
          <w:szCs w:val="28"/>
        </w:rPr>
      </w:pPr>
      <w:r>
        <w:rPr>
          <w:rFonts w:hint="eastAsia" w:ascii="宋体" w:hAnsi="宋体"/>
          <w:color w:val="000000"/>
          <w:sz w:val="28"/>
          <w:szCs w:val="28"/>
        </w:rPr>
        <w:t>设备清单及技术要求</w:t>
      </w:r>
    </w:p>
    <w:p>
      <w:pPr>
        <w:pStyle w:val="4"/>
        <w:spacing w:before="120" w:after="120" w:line="360" w:lineRule="auto"/>
        <w:rPr>
          <w:rFonts w:ascii="宋体" w:hAnsi="宋体" w:eastAsia="宋体"/>
          <w:color w:val="000000"/>
          <w:sz w:val="28"/>
          <w:szCs w:val="28"/>
        </w:rPr>
      </w:pPr>
      <w:r>
        <w:rPr>
          <w:rFonts w:hint="eastAsia" w:ascii="宋体" w:hAnsi="宋体" w:eastAsia="宋体"/>
          <w:color w:val="000000"/>
          <w:sz w:val="28"/>
          <w:szCs w:val="28"/>
        </w:rPr>
        <w:t>3.</w:t>
      </w:r>
      <w:r>
        <w:rPr>
          <w:rFonts w:ascii="宋体" w:hAnsi="宋体" w:eastAsia="宋体"/>
          <w:color w:val="000000"/>
          <w:sz w:val="28"/>
          <w:szCs w:val="28"/>
        </w:rPr>
        <w:t>1</w:t>
      </w:r>
      <w:r>
        <w:rPr>
          <w:rFonts w:hint="eastAsia" w:ascii="宋体" w:hAnsi="宋体" w:eastAsia="宋体"/>
          <w:color w:val="000000"/>
          <w:sz w:val="28"/>
          <w:szCs w:val="28"/>
        </w:rPr>
        <w:t>主要设备及参数要求</w:t>
      </w:r>
    </w:p>
    <w:p>
      <w:pPr>
        <w:pStyle w:val="18"/>
        <w:keepNext/>
        <w:keepLines/>
        <w:numPr>
          <w:ilvl w:val="0"/>
          <w:numId w:val="6"/>
        </w:numPr>
        <w:spacing w:beforeLines="100" w:afterLines="50" w:line="360" w:lineRule="auto"/>
        <w:ind w:firstLineChars="0"/>
        <w:jc w:val="left"/>
        <w:outlineLvl w:val="2"/>
        <w:rPr>
          <w:rFonts w:ascii="宋体" w:hAnsi="宋体" w:eastAsia="宋体" w:cs="Times New Roman"/>
          <w:bCs/>
          <w:vanish/>
          <w:kern w:val="0"/>
          <w:sz w:val="28"/>
          <w:szCs w:val="28"/>
        </w:rPr>
      </w:pPr>
    </w:p>
    <w:p>
      <w:pPr>
        <w:pStyle w:val="18"/>
        <w:keepNext/>
        <w:keepLines/>
        <w:numPr>
          <w:ilvl w:val="0"/>
          <w:numId w:val="6"/>
        </w:numPr>
        <w:spacing w:beforeLines="100" w:afterLines="50" w:line="360" w:lineRule="auto"/>
        <w:ind w:firstLineChars="0"/>
        <w:jc w:val="left"/>
        <w:outlineLvl w:val="2"/>
        <w:rPr>
          <w:rFonts w:ascii="宋体" w:hAnsi="宋体" w:eastAsia="宋体" w:cs="Times New Roman"/>
          <w:bCs/>
          <w:vanish/>
          <w:kern w:val="0"/>
          <w:sz w:val="28"/>
          <w:szCs w:val="28"/>
        </w:rPr>
      </w:pPr>
    </w:p>
    <w:p>
      <w:pPr>
        <w:pStyle w:val="18"/>
        <w:keepNext/>
        <w:keepLines/>
        <w:numPr>
          <w:ilvl w:val="0"/>
          <w:numId w:val="6"/>
        </w:numPr>
        <w:spacing w:beforeLines="100" w:afterLines="50" w:line="360" w:lineRule="auto"/>
        <w:ind w:firstLineChars="0"/>
        <w:jc w:val="left"/>
        <w:outlineLvl w:val="2"/>
        <w:rPr>
          <w:rFonts w:ascii="宋体" w:hAnsi="宋体" w:eastAsia="宋体" w:cs="Times New Roman"/>
          <w:bCs/>
          <w:vanish/>
          <w:kern w:val="0"/>
          <w:sz w:val="28"/>
          <w:szCs w:val="28"/>
        </w:rPr>
      </w:pPr>
    </w:p>
    <w:p>
      <w:pPr>
        <w:pStyle w:val="18"/>
        <w:keepNext/>
        <w:keepLines/>
        <w:numPr>
          <w:ilvl w:val="1"/>
          <w:numId w:val="6"/>
        </w:numPr>
        <w:spacing w:beforeLines="100" w:afterLines="50" w:line="360" w:lineRule="auto"/>
        <w:ind w:firstLineChars="0"/>
        <w:jc w:val="left"/>
        <w:outlineLvl w:val="2"/>
        <w:rPr>
          <w:rFonts w:ascii="宋体" w:hAnsi="宋体" w:eastAsia="宋体" w:cs="Times New Roman"/>
          <w:bCs/>
          <w:vanish/>
          <w:kern w:val="0"/>
          <w:sz w:val="28"/>
          <w:szCs w:val="28"/>
        </w:rPr>
      </w:pPr>
    </w:p>
    <w:p>
      <w:pPr>
        <w:pStyle w:val="5"/>
        <w:numPr>
          <w:ilvl w:val="2"/>
          <w:numId w:val="6"/>
        </w:numPr>
        <w:spacing w:beforeLines="100" w:after="156"/>
        <w:jc w:val="left"/>
        <w:rPr>
          <w:rFonts w:ascii="宋体" w:hAnsi="宋体"/>
          <w:sz w:val="28"/>
          <w:szCs w:val="28"/>
        </w:rPr>
      </w:pPr>
      <w:r>
        <w:rPr>
          <w:rFonts w:hint="eastAsia" w:ascii="宋体" w:hAnsi="宋体"/>
          <w:sz w:val="28"/>
          <w:szCs w:val="28"/>
        </w:rPr>
        <w:t>小间距LED室内全彩显示屏</w:t>
      </w:r>
    </w:p>
    <w:p>
      <w:pPr>
        <w:pStyle w:val="27"/>
        <w:ind w:firstLine="480"/>
        <w:rPr>
          <w:highlight w:val="none"/>
        </w:rPr>
      </w:pPr>
      <w:r>
        <w:rPr>
          <w:rFonts w:hint="eastAsia" w:ascii="宋体" w:hAnsi="宋体" w:eastAsia="宋体" w:cs="Times New Roman"/>
          <w:kern w:val="2"/>
          <w:sz w:val="28"/>
          <w:szCs w:val="28"/>
          <w:highlight w:val="none"/>
          <w:lang w:val="en-US" w:eastAsia="zh-CN" w:bidi="ar-SA"/>
        </w:rPr>
        <w:t>为了保证大批量应用的LED发光颗粒能够均匀一致的发光，要求采用逐点校正技术，会对每个显示屏单元板中的每个像素进行单独控制，包括其亮度和颜色的控制，以获得前所未有的均匀度，生成最为清晰的图像。此外，在原有单点校正的基础上，箱体</w:t>
      </w:r>
      <w:r>
        <w:rPr>
          <w:rFonts w:hint="eastAsia" w:ascii="宋体" w:hAnsi="宋体" w:cs="Times New Roman"/>
          <w:kern w:val="2"/>
          <w:sz w:val="28"/>
          <w:szCs w:val="28"/>
          <w:highlight w:val="none"/>
          <w:lang w:val="en-US" w:eastAsia="zh-CN" w:bidi="ar-SA"/>
        </w:rPr>
        <w:t>需要</w:t>
      </w:r>
      <w:r>
        <w:rPr>
          <w:rFonts w:hint="eastAsia" w:ascii="宋体" w:hAnsi="宋体" w:eastAsia="宋体" w:cs="Times New Roman"/>
          <w:kern w:val="2"/>
          <w:sz w:val="28"/>
          <w:szCs w:val="28"/>
          <w:highlight w:val="none"/>
          <w:lang w:val="en-US" w:eastAsia="zh-CN" w:bidi="ar-SA"/>
        </w:rPr>
        <w:t>新增整屏亮度、色度校正和单模块亮度、色度校正技术。</w:t>
      </w:r>
      <w:r>
        <w:rPr>
          <w:rFonts w:hint="eastAsia"/>
          <w:sz w:val="28"/>
          <w:szCs w:val="28"/>
          <w:highlight w:val="none"/>
        </w:rPr>
        <w:t>★</w:t>
      </w:r>
      <w:r>
        <w:rPr>
          <w:rFonts w:hint="eastAsia" w:ascii="宋体" w:hAnsi="宋体" w:cs="Times New Roman"/>
          <w:kern w:val="2"/>
          <w:sz w:val="28"/>
          <w:szCs w:val="28"/>
          <w:highlight w:val="none"/>
          <w:lang w:val="en-US" w:eastAsia="zh-CN" w:bidi="ar-SA"/>
        </w:rPr>
        <w:t>投标LED产品需要支持逐点校正功能，可对单点或整屏的亮度、色度进行矫正，并提供检测报告证明。</w:t>
      </w:r>
    </w:p>
    <w:p>
      <w:pPr>
        <w:rPr>
          <w:rFonts w:ascii="宋体" w:hAnsi="宋体"/>
          <w:sz w:val="28"/>
          <w:szCs w:val="28"/>
        </w:rPr>
      </w:pPr>
      <w:r>
        <w:rPr>
          <w:rFonts w:hint="eastAsia" w:ascii="宋体" w:hAnsi="宋体"/>
          <w:sz w:val="28"/>
          <w:szCs w:val="28"/>
        </w:rPr>
        <w:t>1.投标产品LED像素点间距＜1.57mm;像素密度≥410000点/㎡。</w:t>
      </w:r>
    </w:p>
    <w:p>
      <w:pPr>
        <w:rPr>
          <w:rFonts w:ascii="宋体" w:hAnsi="宋体"/>
          <w:sz w:val="28"/>
          <w:szCs w:val="28"/>
        </w:rPr>
      </w:pPr>
      <w:r>
        <w:rPr>
          <w:rFonts w:hint="eastAsia" w:ascii="宋体" w:hAnsi="宋体"/>
          <w:sz w:val="28"/>
          <w:szCs w:val="28"/>
        </w:rPr>
        <w:t>2.投标方也可根据自身产品尺寸进行拼接，但是显示尺寸长和宽均不得小于规定长宽，误差范围不超过2％。</w:t>
      </w:r>
    </w:p>
    <w:p>
      <w:pPr>
        <w:rPr>
          <w:rFonts w:ascii="宋体" w:hAnsi="宋体"/>
          <w:sz w:val="28"/>
          <w:szCs w:val="28"/>
        </w:rPr>
      </w:pPr>
      <w:r>
        <w:rPr>
          <w:rFonts w:hint="eastAsia" w:ascii="宋体" w:hAnsi="宋体"/>
          <w:sz w:val="28"/>
          <w:szCs w:val="28"/>
        </w:rPr>
        <w:t>3.箱体结构采用压铸铝合金，后壳采用双列格板散热设计，增大散热面积，无风扇，无孔。</w:t>
      </w:r>
    </w:p>
    <w:p>
      <w:pPr>
        <w:rPr>
          <w:rFonts w:ascii="宋体" w:hAnsi="宋体"/>
          <w:sz w:val="28"/>
          <w:szCs w:val="28"/>
        </w:rPr>
      </w:pPr>
      <w:r>
        <w:rPr>
          <w:rFonts w:hint="eastAsia" w:ascii="宋体" w:hAnsi="宋体"/>
          <w:sz w:val="28"/>
          <w:szCs w:val="28"/>
        </w:rPr>
        <w:t>4.投标产品最大刷新率≥3840Hz ，换帧频率为50-120Hz，最大对比度≥5000:1。</w:t>
      </w:r>
    </w:p>
    <w:p>
      <w:pPr>
        <w:rPr>
          <w:rFonts w:ascii="宋体" w:hAnsi="宋体"/>
          <w:sz w:val="28"/>
          <w:szCs w:val="28"/>
        </w:rPr>
      </w:pPr>
      <w:r>
        <w:rPr>
          <w:rFonts w:hint="eastAsia" w:ascii="宋体" w:hAnsi="宋体"/>
          <w:sz w:val="28"/>
          <w:szCs w:val="28"/>
        </w:rPr>
        <w:t>5.投标产品水平和垂直视角≥170°；亮度均匀性≥98%，NTSC色域覆盖率≥115%，DCI-P3色域覆盖率≥115%。</w:t>
      </w:r>
    </w:p>
    <w:p>
      <w:pPr>
        <w:rPr>
          <w:rFonts w:ascii="宋体" w:hAnsi="宋体"/>
          <w:sz w:val="28"/>
          <w:szCs w:val="28"/>
        </w:rPr>
      </w:pPr>
      <w:r>
        <w:rPr>
          <w:rFonts w:hint="eastAsia" w:ascii="宋体" w:hAnsi="宋体"/>
          <w:sz w:val="28"/>
          <w:szCs w:val="28"/>
        </w:rPr>
        <w:t>6.投标LED的电源和接收卡采用前后壳传导散热方式，具有导热柱设计，箱体内部元器件热量可传导至后壳进行散热。</w:t>
      </w:r>
    </w:p>
    <w:p>
      <w:pPr>
        <w:rPr>
          <w:rFonts w:ascii="宋体" w:hAnsi="宋体"/>
          <w:sz w:val="28"/>
          <w:szCs w:val="28"/>
        </w:rPr>
      </w:pPr>
      <w:r>
        <w:rPr>
          <w:rFonts w:hint="eastAsia" w:ascii="宋体" w:hAnsi="宋体"/>
          <w:sz w:val="28"/>
          <w:szCs w:val="28"/>
        </w:rPr>
        <w:t>7.投标LED的灯板采用无线缆设计，信号和电源连接采用浮动接插件，无排线设计，灯板支持水平上下左右调整，六向调节。</w:t>
      </w:r>
    </w:p>
    <w:p>
      <w:pPr>
        <w:rPr>
          <w:rFonts w:ascii="宋体" w:hAnsi="宋体"/>
          <w:sz w:val="28"/>
          <w:szCs w:val="28"/>
        </w:rPr>
      </w:pPr>
      <w:r>
        <w:rPr>
          <w:rFonts w:hint="eastAsia" w:ascii="宋体" w:hAnsi="宋体"/>
          <w:sz w:val="28"/>
          <w:szCs w:val="28"/>
        </w:rPr>
        <w:t>8.投标产品支持信源接入状态显示，可通过物理按键、客户端、遥控器进行信源切换。（提供首页具有CNAS标识的第三方检测报告复印件并加盖厂家公章）</w:t>
      </w:r>
    </w:p>
    <w:p>
      <w:pPr>
        <w:rPr>
          <w:rFonts w:ascii="宋体" w:hAnsi="宋体"/>
          <w:sz w:val="28"/>
          <w:szCs w:val="28"/>
        </w:rPr>
      </w:pPr>
      <w:r>
        <w:rPr>
          <w:rFonts w:hint="eastAsia" w:ascii="宋体" w:hAnsi="宋体"/>
          <w:sz w:val="28"/>
          <w:szCs w:val="28"/>
        </w:rPr>
        <w:t>9.★投标产品亮度色温支持0-100%无极可调，1000K~13000K 连续可调，可设置亮度定时调节，支持通过客户端、遥控器、物理按键进行调节。（提供首页具有CNAS标识的第三方检测报告复印件并加盖厂家公章）</w:t>
      </w:r>
    </w:p>
    <w:p>
      <w:pPr>
        <w:rPr>
          <w:rFonts w:ascii="宋体" w:hAnsi="宋体"/>
          <w:sz w:val="28"/>
          <w:szCs w:val="28"/>
        </w:rPr>
      </w:pPr>
      <w:r>
        <w:rPr>
          <w:rFonts w:hint="eastAsia" w:ascii="宋体" w:hAnsi="宋体"/>
          <w:sz w:val="28"/>
          <w:szCs w:val="28"/>
        </w:rPr>
        <w:t>10.★投标产品可通过遥控器的操作，对图像的对比度、清晰度、饱和度、色温以及图像模式进行调节设置。（提供首页具有CNAS标识的第三方检测报告复印件并加盖厂家公章）</w:t>
      </w:r>
    </w:p>
    <w:p>
      <w:pPr>
        <w:rPr>
          <w:rFonts w:ascii="宋体" w:hAnsi="宋体"/>
          <w:sz w:val="28"/>
          <w:szCs w:val="28"/>
        </w:rPr>
      </w:pPr>
      <w:r>
        <w:rPr>
          <w:rFonts w:hint="eastAsia" w:ascii="宋体" w:hAnsi="宋体"/>
          <w:sz w:val="28"/>
          <w:szCs w:val="28"/>
        </w:rPr>
        <w:t>11.投标产品支持无信号输入自动熄屏待机，有信号输入自动唤醒功能。（提供首页具有CNAS标识的第三方检测报告复印件并加盖厂家公章）</w:t>
      </w:r>
    </w:p>
    <w:p>
      <w:pPr>
        <w:rPr>
          <w:rFonts w:ascii="宋体" w:hAnsi="宋体"/>
          <w:sz w:val="28"/>
          <w:szCs w:val="28"/>
        </w:rPr>
      </w:pPr>
      <w:r>
        <w:rPr>
          <w:rFonts w:hint="eastAsia" w:ascii="宋体" w:hAnsi="宋体"/>
          <w:sz w:val="28"/>
          <w:szCs w:val="28"/>
        </w:rPr>
        <w:t>12.★支持分段校正，提升各个灰阶的显示均匀性（提供首页具有CNAS标识的第三方检测报告复印件并加盖厂家公章）</w:t>
      </w:r>
    </w:p>
    <w:p>
      <w:pPr>
        <w:rPr>
          <w:rFonts w:ascii="宋体" w:hAnsi="宋体"/>
          <w:sz w:val="28"/>
          <w:szCs w:val="28"/>
        </w:rPr>
      </w:pPr>
      <w:r>
        <w:rPr>
          <w:rFonts w:hint="eastAsia" w:ascii="宋体" w:hAnsi="宋体"/>
          <w:sz w:val="28"/>
          <w:szCs w:val="28"/>
        </w:rPr>
        <w:t>13.★具备智能节能功能，自动检测当前环境是否有人，无人时自动调暗屏幕画面或黑屏（提供首页具有CNAS标识的第三方检测报告复印件并加盖厂家公章）</w:t>
      </w:r>
    </w:p>
    <w:p>
      <w:pPr>
        <w:rPr>
          <w:rFonts w:ascii="宋体" w:hAnsi="宋体"/>
          <w:sz w:val="28"/>
          <w:szCs w:val="28"/>
        </w:rPr>
      </w:pPr>
      <w:r>
        <w:rPr>
          <w:rFonts w:hint="eastAsia" w:ascii="宋体" w:hAnsi="宋体"/>
          <w:sz w:val="28"/>
          <w:szCs w:val="28"/>
        </w:rPr>
        <w:t>14.投标产品需提供CCC认证证书，中国环保产品（II型）认证证书，中国节能产品认证证书。</w:t>
      </w:r>
    </w:p>
    <w:p>
      <w:pPr>
        <w:rPr>
          <w:rFonts w:ascii="宋体" w:hAnsi="宋体"/>
          <w:sz w:val="28"/>
          <w:szCs w:val="28"/>
        </w:rPr>
      </w:pPr>
      <w:r>
        <w:rPr>
          <w:rFonts w:hint="eastAsia" w:ascii="宋体" w:hAnsi="宋体"/>
          <w:sz w:val="28"/>
          <w:szCs w:val="28"/>
        </w:rPr>
        <w:t>★参数需提供相关权威检测报告复印件予以证明，并加盖设备厂家公章</w:t>
      </w:r>
    </w:p>
    <w:p>
      <w:pPr>
        <w:pStyle w:val="5"/>
        <w:numPr>
          <w:ilvl w:val="2"/>
          <w:numId w:val="6"/>
        </w:numPr>
        <w:spacing w:beforeLines="100" w:after="156"/>
        <w:jc w:val="left"/>
        <w:rPr>
          <w:rFonts w:ascii="宋体" w:hAnsi="宋体"/>
          <w:sz w:val="28"/>
          <w:szCs w:val="28"/>
        </w:rPr>
      </w:pPr>
      <w:r>
        <w:rPr>
          <w:rFonts w:hint="eastAsia" w:ascii="宋体" w:hAnsi="宋体"/>
          <w:sz w:val="28"/>
          <w:szCs w:val="28"/>
        </w:rPr>
        <w:t>LED控制器</w:t>
      </w:r>
    </w:p>
    <w:p>
      <w:pPr>
        <w:rPr>
          <w:rFonts w:ascii="宋体" w:hAnsi="宋体"/>
          <w:sz w:val="28"/>
          <w:szCs w:val="28"/>
        </w:rPr>
      </w:pPr>
      <w:r>
        <w:rPr>
          <w:rFonts w:hint="eastAsia" w:ascii="宋体" w:hAnsi="宋体"/>
          <w:sz w:val="28"/>
          <w:szCs w:val="28"/>
        </w:rPr>
        <w:t>1.投标产品支持1个DVI、1个HDMI、1个DP输入接口，支持4K分辨率信号接入。</w:t>
      </w:r>
    </w:p>
    <w:p>
      <w:pPr>
        <w:rPr>
          <w:rFonts w:ascii="宋体" w:hAnsi="宋体"/>
          <w:sz w:val="28"/>
          <w:szCs w:val="28"/>
        </w:rPr>
      </w:pPr>
      <w:r>
        <w:rPr>
          <w:rFonts w:hint="eastAsia" w:ascii="宋体" w:hAnsi="宋体"/>
          <w:sz w:val="28"/>
          <w:szCs w:val="28"/>
        </w:rPr>
        <w:t>2.投标产品支持亮度调节，可以通过客户端、遥控器、PAD及物理按键进行调节，并支持多台设备同时调节。</w:t>
      </w:r>
    </w:p>
    <w:p>
      <w:pPr>
        <w:rPr>
          <w:rFonts w:ascii="宋体" w:hAnsi="宋体"/>
          <w:sz w:val="28"/>
          <w:szCs w:val="28"/>
        </w:rPr>
      </w:pPr>
      <w:r>
        <w:rPr>
          <w:rFonts w:hint="eastAsia" w:ascii="宋体" w:hAnsi="宋体"/>
          <w:sz w:val="28"/>
          <w:szCs w:val="28"/>
        </w:rPr>
        <w:t xml:space="preserve">3.投标产品支持图片上传作为底图显示，且图片可轮巡。 </w:t>
      </w:r>
    </w:p>
    <w:p>
      <w:pPr>
        <w:rPr>
          <w:rFonts w:ascii="宋体" w:hAnsi="宋体"/>
          <w:sz w:val="28"/>
          <w:szCs w:val="28"/>
        </w:rPr>
      </w:pPr>
      <w:r>
        <w:rPr>
          <w:rFonts w:hint="eastAsia" w:ascii="宋体" w:hAnsi="宋体"/>
          <w:sz w:val="28"/>
          <w:szCs w:val="28"/>
        </w:rPr>
        <w:t>4.★投标产品支持800*600-4092*2160之间的多种分辨率视频信号自适应接入。（提供封面具有CNAS盖章的第三方检测机构出具的检测报告复印件并加盖厂家公章）</w:t>
      </w:r>
    </w:p>
    <w:p>
      <w:pPr>
        <w:rPr>
          <w:rFonts w:ascii="宋体" w:hAnsi="宋体"/>
          <w:sz w:val="28"/>
          <w:szCs w:val="28"/>
        </w:rPr>
      </w:pPr>
      <w:r>
        <w:rPr>
          <w:rFonts w:hint="eastAsia" w:ascii="宋体" w:hAnsi="宋体"/>
          <w:sz w:val="28"/>
          <w:szCs w:val="28"/>
        </w:rPr>
        <w:t>5.★投标产品具备光感扩展接口，配合光感传感器，无需增加额外设备即可实现光感调节功能。（提供封面具有CNAS盖章的第三方检测机构出具的检测报告复印件并加盖厂家公章）</w:t>
      </w:r>
    </w:p>
    <w:p>
      <w:pPr>
        <w:rPr>
          <w:rFonts w:ascii="宋体" w:hAnsi="宋体"/>
          <w:sz w:val="28"/>
          <w:szCs w:val="28"/>
        </w:rPr>
      </w:pPr>
      <w:r>
        <w:rPr>
          <w:rFonts w:hint="eastAsia" w:ascii="宋体" w:hAnsi="宋体"/>
          <w:sz w:val="28"/>
          <w:szCs w:val="28"/>
        </w:rPr>
        <w:t>6.投标产品支持屏体各通道逐个延时上电，可通过遥控器进行操作。</w:t>
      </w:r>
    </w:p>
    <w:p>
      <w:pPr>
        <w:rPr>
          <w:rFonts w:ascii="宋体" w:hAnsi="宋体"/>
          <w:sz w:val="28"/>
          <w:szCs w:val="28"/>
        </w:rPr>
      </w:pPr>
      <w:r>
        <w:rPr>
          <w:rFonts w:hint="eastAsia" w:ascii="宋体" w:hAnsi="宋体"/>
          <w:sz w:val="28"/>
          <w:szCs w:val="28"/>
        </w:rPr>
        <w:t>7.★投标产品可通过物理按键、遥控器、客户端方式对屏幕红、绿、蓝、白、条纹逐行扫描进行自检操作。（提供封面具有CNAS盖章的第三方检测机构出具的检测报告复印件并加盖厂家公章）</w:t>
      </w:r>
    </w:p>
    <w:p>
      <w:pPr>
        <w:rPr>
          <w:rFonts w:ascii="宋体" w:hAnsi="宋体"/>
          <w:sz w:val="28"/>
          <w:szCs w:val="28"/>
        </w:rPr>
      </w:pPr>
      <w:r>
        <w:rPr>
          <w:rFonts w:hint="eastAsia" w:ascii="宋体" w:hAnsi="宋体"/>
          <w:sz w:val="28"/>
          <w:szCs w:val="28"/>
        </w:rPr>
        <w:t>8.投标产品可通过遥控器的便捷式操作，对图像的对比度、清晰度、饱和度、色温以及图像模式进行调节设置。</w:t>
      </w:r>
    </w:p>
    <w:p>
      <w:pPr>
        <w:rPr>
          <w:rFonts w:ascii="宋体" w:hAnsi="宋体"/>
          <w:sz w:val="28"/>
          <w:szCs w:val="28"/>
        </w:rPr>
      </w:pPr>
      <w:r>
        <w:rPr>
          <w:rFonts w:hint="eastAsia" w:ascii="宋体" w:hAnsi="宋体"/>
          <w:sz w:val="28"/>
          <w:szCs w:val="28"/>
        </w:rPr>
        <w:t>9.投标产品具备文稿模式、护眼模式、影院场景、监控场景、常规场景、商用场景、广电场景。</w:t>
      </w:r>
    </w:p>
    <w:p>
      <w:pPr>
        <w:rPr>
          <w:rFonts w:ascii="宋体" w:hAnsi="宋体"/>
          <w:sz w:val="28"/>
          <w:szCs w:val="28"/>
        </w:rPr>
      </w:pPr>
      <w:r>
        <w:rPr>
          <w:rFonts w:hint="eastAsia" w:ascii="宋体" w:hAnsi="宋体"/>
          <w:sz w:val="28"/>
          <w:szCs w:val="28"/>
        </w:rPr>
        <w:t>★参数需提供相关权威检测报告复印件予以证明，并加盖设备厂家公章</w:t>
      </w:r>
    </w:p>
    <w:p>
      <w:pPr>
        <w:pStyle w:val="5"/>
        <w:numPr>
          <w:ilvl w:val="2"/>
          <w:numId w:val="6"/>
        </w:numPr>
        <w:spacing w:beforeLines="100" w:after="156"/>
        <w:jc w:val="left"/>
        <w:rPr>
          <w:rFonts w:ascii="宋体" w:hAnsi="宋体"/>
          <w:sz w:val="28"/>
          <w:szCs w:val="28"/>
        </w:rPr>
      </w:pPr>
      <w:r>
        <w:rPr>
          <w:rFonts w:hint="eastAsia" w:ascii="宋体" w:hAnsi="宋体"/>
          <w:sz w:val="28"/>
          <w:szCs w:val="28"/>
        </w:rPr>
        <w:t>视频综合平台</w:t>
      </w:r>
    </w:p>
    <w:p>
      <w:pPr>
        <w:rPr>
          <w:rFonts w:ascii="宋体" w:hAnsi="宋体"/>
          <w:sz w:val="28"/>
          <w:szCs w:val="28"/>
        </w:rPr>
      </w:pPr>
      <w:r>
        <w:rPr>
          <w:rFonts w:hint="eastAsia" w:ascii="宋体" w:hAnsi="宋体"/>
          <w:sz w:val="28"/>
          <w:szCs w:val="28"/>
        </w:rPr>
        <w:t>1.8U标准机箱，满足各种规模的监控需求；标准机架式设计，运营级ATCA机箱系统；插拔式模块化设计，可根据需求灵活扩展；5槽位机箱，双电源适配器，单主控板；业务模块支持热插拔、双电源冗余、智能风扇自动调温，确保系统稳定可靠；双高速无阻塞背板设计，满足大容量视频数据高速交换的需求。本次配置3块8个DVI输出解码板，2块8个HDMI输入编码板。</w:t>
      </w:r>
    </w:p>
    <w:p>
      <w:pPr>
        <w:rPr>
          <w:rFonts w:ascii="宋体" w:hAnsi="宋体"/>
          <w:sz w:val="28"/>
          <w:szCs w:val="28"/>
        </w:rPr>
      </w:pPr>
      <w:r>
        <w:rPr>
          <w:rFonts w:hint="eastAsia" w:ascii="宋体" w:hAnsi="宋体"/>
          <w:sz w:val="28"/>
          <w:szCs w:val="28"/>
        </w:rPr>
        <w:t>2.多设备之间的视频数据通过光纤级联传输延时≤100ms。（提供公安部出具的型式检验报告复印件加盖原厂商公章）</w:t>
      </w:r>
    </w:p>
    <w:p>
      <w:pPr>
        <w:rPr>
          <w:rFonts w:ascii="宋体" w:hAnsi="宋体"/>
          <w:sz w:val="28"/>
          <w:szCs w:val="28"/>
        </w:rPr>
      </w:pPr>
      <w:r>
        <w:rPr>
          <w:rFonts w:hint="eastAsia" w:ascii="宋体" w:hAnsi="宋体"/>
          <w:sz w:val="28"/>
          <w:szCs w:val="28"/>
        </w:rPr>
        <w:t>3.★投标产品主控板具有16个串口支持挂载128个RS485控制设备，可将IP数据发送至串口。主控板具有7个RJ45网络接口、6个光纤接口、1个USB接口。（提供公安部出具的型式检验报告复印件加盖原厂商公章）</w:t>
      </w:r>
    </w:p>
    <w:p>
      <w:pPr>
        <w:rPr>
          <w:rFonts w:ascii="宋体" w:hAnsi="宋体"/>
          <w:sz w:val="28"/>
          <w:szCs w:val="28"/>
        </w:rPr>
      </w:pPr>
      <w:r>
        <w:rPr>
          <w:rFonts w:hint="eastAsia" w:ascii="宋体" w:hAnsi="宋体"/>
          <w:sz w:val="28"/>
          <w:szCs w:val="28"/>
        </w:rPr>
        <w:t>4.投标产品支持1、2、4、6、8、9、12、16、25、32、36、48、64画面分割显示。</w:t>
      </w:r>
    </w:p>
    <w:p>
      <w:pPr>
        <w:rPr>
          <w:rFonts w:ascii="宋体" w:hAnsi="宋体"/>
          <w:sz w:val="28"/>
          <w:szCs w:val="28"/>
        </w:rPr>
      </w:pPr>
      <w:r>
        <w:rPr>
          <w:rFonts w:hint="eastAsia" w:ascii="宋体" w:hAnsi="宋体"/>
          <w:sz w:val="28"/>
          <w:szCs w:val="28"/>
        </w:rPr>
        <w:t>5.投标产品支持显示预案功能，可将样机的视频输出状态保存为场景，可设置多个场景并可对每个场景进行配置、清空、复制、修改、切换等操作，可实现多个场景轮巡切换、（预案）轮巡。</w:t>
      </w:r>
    </w:p>
    <w:p>
      <w:pPr>
        <w:rPr>
          <w:rFonts w:ascii="宋体" w:hAnsi="宋体"/>
          <w:sz w:val="28"/>
          <w:szCs w:val="28"/>
        </w:rPr>
      </w:pPr>
      <w:r>
        <w:rPr>
          <w:rFonts w:hint="eastAsia" w:ascii="宋体" w:hAnsi="宋体"/>
          <w:sz w:val="28"/>
          <w:szCs w:val="28"/>
        </w:rPr>
        <w:t>6.★投标产品支持手动视频切换功能，支持将选定的视频输入切换到选定的视频输出，支持视音频同步切换、异步切换，画面切换时不出现黑屏。（提供公安部出具的型式检验报告复印件加盖原厂商公章）</w:t>
      </w:r>
    </w:p>
    <w:p>
      <w:pPr>
        <w:rPr>
          <w:rFonts w:ascii="宋体" w:hAnsi="宋体"/>
          <w:sz w:val="28"/>
          <w:szCs w:val="28"/>
        </w:rPr>
      </w:pPr>
      <w:r>
        <w:rPr>
          <w:rFonts w:hint="eastAsia" w:ascii="宋体" w:hAnsi="宋体"/>
          <w:sz w:val="28"/>
          <w:szCs w:val="28"/>
        </w:rPr>
        <w:t>7.投标产品具有同一输入通道的视频图像在不同输出端口显示的失步误差小于1ms。</w:t>
      </w:r>
    </w:p>
    <w:p>
      <w:pPr>
        <w:rPr>
          <w:rFonts w:ascii="宋体" w:hAnsi="宋体"/>
          <w:sz w:val="28"/>
          <w:szCs w:val="28"/>
        </w:rPr>
      </w:pPr>
      <w:r>
        <w:rPr>
          <w:rFonts w:hint="eastAsia" w:ascii="宋体" w:hAnsi="宋体"/>
          <w:sz w:val="28"/>
          <w:szCs w:val="28"/>
        </w:rPr>
        <w:t>8.★投标产品的信号源采集后经过高速背板总线到输出显示所用时间应≤35ms；图像切换时间应＜20ms。（提供公安部出具的封面具有CNAS标志的报告复印件加盖原厂商公章）</w:t>
      </w:r>
    </w:p>
    <w:p>
      <w:pPr>
        <w:rPr>
          <w:rFonts w:ascii="宋体" w:hAnsi="宋体"/>
          <w:sz w:val="28"/>
          <w:szCs w:val="28"/>
        </w:rPr>
      </w:pPr>
      <w:r>
        <w:rPr>
          <w:rFonts w:hint="eastAsia" w:ascii="宋体" w:hAnsi="宋体"/>
          <w:sz w:val="28"/>
          <w:szCs w:val="28"/>
        </w:rPr>
        <w:t>9.★投标产品应支持在任一视频输出显示画面上叠加显示多个不同视频输入信号的显示窗口，单个输出通道最少支持32个窗口叠加显示，单个输出板卡应可以支持128个漫游窗口叠加；并且窗口图像应支持置顶、置底操作。（提供公安部出具的封面具有CNAS标志的报告复印件加盖原厂商公章）</w:t>
      </w:r>
    </w:p>
    <w:p>
      <w:pPr>
        <w:rPr>
          <w:rFonts w:ascii="宋体" w:hAnsi="宋体"/>
          <w:sz w:val="28"/>
          <w:szCs w:val="28"/>
        </w:rPr>
      </w:pPr>
      <w:r>
        <w:rPr>
          <w:rFonts w:hint="eastAsia" w:ascii="宋体" w:hAnsi="宋体"/>
          <w:sz w:val="28"/>
          <w:szCs w:val="28"/>
        </w:rPr>
        <w:t>10.★投标产品的拼接功能不仅应在多个视频输出端口组合显示视频输入图像，同时应支持在多台产品组成的集群内任意设备输出口实现拼接功能。（不满足集群内任意设备输出口拼接的不得分）（提供公安部出具的封面具有CNAS标志的报告复印件加盖原厂商公章）</w:t>
      </w:r>
    </w:p>
    <w:p>
      <w:pPr>
        <w:rPr>
          <w:rFonts w:ascii="宋体" w:hAnsi="宋体"/>
          <w:sz w:val="28"/>
          <w:szCs w:val="28"/>
        </w:rPr>
      </w:pPr>
      <w:r>
        <w:rPr>
          <w:rFonts w:hint="eastAsia" w:ascii="宋体" w:hAnsi="宋体"/>
          <w:sz w:val="28"/>
          <w:szCs w:val="28"/>
        </w:rPr>
        <w:t>★参数需提供相关权威检测报告复印件予以证明，并加盖设备厂家公章</w:t>
      </w:r>
    </w:p>
    <w:p>
      <w:pPr>
        <w:pStyle w:val="5"/>
        <w:numPr>
          <w:ilvl w:val="2"/>
          <w:numId w:val="6"/>
        </w:numPr>
        <w:spacing w:beforeLines="100" w:after="156"/>
        <w:jc w:val="left"/>
        <w:rPr>
          <w:rFonts w:ascii="宋体" w:hAnsi="宋体"/>
          <w:sz w:val="28"/>
          <w:szCs w:val="28"/>
        </w:rPr>
      </w:pPr>
      <w:r>
        <w:rPr>
          <w:rFonts w:hint="eastAsia" w:ascii="宋体" w:hAnsi="宋体"/>
          <w:sz w:val="28"/>
          <w:szCs w:val="28"/>
        </w:rPr>
        <w:t>智能大屏管理平台</w:t>
      </w:r>
    </w:p>
    <w:p>
      <w:pPr>
        <w:rPr>
          <w:rFonts w:ascii="宋体" w:hAnsi="宋体"/>
          <w:sz w:val="28"/>
          <w:szCs w:val="28"/>
        </w:rPr>
      </w:pPr>
      <w:r>
        <w:rPr>
          <w:rFonts w:hint="eastAsia" w:ascii="宋体" w:hAnsi="宋体"/>
          <w:sz w:val="28"/>
          <w:szCs w:val="28"/>
        </w:rPr>
        <w:t>1. ★系统具备 C/S 和 B/S 结构，可通过客户端软件、平板和浏览器对大屏系统进行统一管理，包括大屏门户、 场景配置、预案切换、远程操控、 信号控制、 一键上墙、内容切换、多屏互动、窗口叠加/拼接/漫游/放大/缩小/移动/关闭等操作；支持查看信号源实时画面，实时查看大屏中正在播放的内容等功能。</w:t>
      </w:r>
    </w:p>
    <w:p>
      <w:pPr>
        <w:rPr>
          <w:rFonts w:ascii="宋体" w:hAnsi="宋体"/>
          <w:sz w:val="28"/>
          <w:szCs w:val="28"/>
        </w:rPr>
      </w:pPr>
      <w:r>
        <w:rPr>
          <w:rFonts w:hint="eastAsia" w:ascii="宋体" w:hAnsi="宋体"/>
          <w:sz w:val="28"/>
          <w:szCs w:val="28"/>
        </w:rPr>
        <w:t>2. ★支持拼控器、播控主机、 KVM 坐席、 PC主机、中控主机设备增删改查的统一管理；支持查看播控主机、 KVM 坐席、 PC 主机、中控主机设备的在线/离线状态；支持通过平台远程重启、更新播控主机的程序；支持场景关联播控主机的开关量模式。</w:t>
      </w:r>
    </w:p>
    <w:p>
      <w:pPr>
        <w:rPr>
          <w:rFonts w:ascii="宋体" w:hAnsi="宋体"/>
          <w:sz w:val="28"/>
          <w:szCs w:val="28"/>
        </w:rPr>
      </w:pPr>
      <w:r>
        <w:rPr>
          <w:rFonts w:hint="eastAsia" w:ascii="宋体" w:hAnsi="宋体"/>
          <w:sz w:val="28"/>
          <w:szCs w:val="28"/>
        </w:rPr>
        <w:t>3. 可控制大屏的智能控制功能，包括广告、会议、监控、护眼模式的开启屏保，以及对具有除湿功能的大屏进行除湿。</w:t>
      </w:r>
    </w:p>
    <w:p>
      <w:pPr>
        <w:rPr>
          <w:rFonts w:ascii="宋体" w:hAnsi="宋体"/>
          <w:sz w:val="28"/>
          <w:szCs w:val="28"/>
        </w:rPr>
      </w:pPr>
      <w:r>
        <w:rPr>
          <w:rFonts w:hint="eastAsia" w:ascii="宋体" w:hAnsi="宋体"/>
          <w:sz w:val="28"/>
          <w:szCs w:val="28"/>
        </w:rPr>
        <w:t>4. 支持按照当前选定的显示屏建立相同分辨率的场景，以图形化编辑方式对窗口的开窗参数、窗口比例、窗口位置、窗口大小、窗口层级等参数进行设置，以鼠标拖动方式将信号、视频文件、字幕、图片、程序包等加载至场景中指定播放窗口；支持将网页、程序包、图片、视频、 PPT、Word 文档、 Excel、 PDF、文本等内容窗口拖动到大屏中，每种类型窗口可添加多个文件，可设置内容文件播放时长，内容播放顺序等属性。</w:t>
      </w:r>
    </w:p>
    <w:p>
      <w:pPr>
        <w:rPr>
          <w:rFonts w:ascii="宋体" w:hAnsi="宋体"/>
          <w:sz w:val="28"/>
          <w:szCs w:val="28"/>
        </w:rPr>
      </w:pPr>
      <w:r>
        <w:rPr>
          <w:rFonts w:hint="eastAsia" w:ascii="宋体" w:hAnsi="宋体"/>
          <w:sz w:val="28"/>
          <w:szCs w:val="28"/>
        </w:rPr>
        <w:t>5. ★支持通过平板设置大屏门户菜单，可切换屏幕进行内容显示；支持通过门户菜单实现对大屏内容显示的导航操作；支持控制正在播放视频的进度，启动、停止播放；支持在平板上进行 PPT 上一页、下一页等操作；支持同步 WEB 端平台添加的所有内容，可实时切换大屏中显示的网页、视频、图片等；支持查看场景详情；支持拖动信号源至场景，可设置该信号窗口的大小、位置、置顶、放大/还原、层级等；支持查看场景下的信号源列表；支持查看预案、启动预案、停止预案。</w:t>
      </w:r>
    </w:p>
    <w:p>
      <w:pPr>
        <w:rPr>
          <w:rFonts w:ascii="宋体" w:hAnsi="宋体"/>
          <w:sz w:val="28"/>
          <w:szCs w:val="28"/>
        </w:rPr>
      </w:pPr>
      <w:r>
        <w:rPr>
          <w:rFonts w:hint="eastAsia" w:ascii="宋体" w:hAnsi="宋体"/>
          <w:sz w:val="28"/>
          <w:szCs w:val="28"/>
        </w:rPr>
        <w:t>6. 提供操作提示，每一步操作成功或失败都会有弹框提醒，并有日志记录。</w:t>
      </w:r>
    </w:p>
    <w:p>
      <w:pPr>
        <w:rPr>
          <w:rFonts w:ascii="宋体" w:hAnsi="宋体"/>
          <w:sz w:val="28"/>
          <w:szCs w:val="28"/>
        </w:rPr>
      </w:pPr>
      <w:r>
        <w:rPr>
          <w:rFonts w:hint="eastAsia" w:ascii="宋体" w:hAnsi="宋体"/>
          <w:sz w:val="28"/>
          <w:szCs w:val="28"/>
        </w:rPr>
        <w:t>7. 软件平台采用模块化设计，实现实时浏览、录像回放、大屏管理、字幕管理、中控管理、音频配置、信息发布等系统互联互通，在同一平台下可对不同功能模块进行操作，实现统一管理。</w:t>
      </w:r>
    </w:p>
    <w:p>
      <w:pPr>
        <w:rPr>
          <w:rFonts w:ascii="宋体" w:hAnsi="宋体"/>
          <w:sz w:val="28"/>
          <w:szCs w:val="28"/>
        </w:rPr>
      </w:pPr>
      <w:r>
        <w:rPr>
          <w:rFonts w:hint="eastAsia" w:ascii="宋体" w:hAnsi="宋体"/>
          <w:sz w:val="28"/>
          <w:szCs w:val="28"/>
        </w:rPr>
        <w:t>★参数需提供相关权威检测报告复印件予以证明，并加盖设备厂家公章</w:t>
      </w:r>
    </w:p>
    <w:p>
      <w:pPr>
        <w:pStyle w:val="5"/>
        <w:numPr>
          <w:ilvl w:val="2"/>
          <w:numId w:val="6"/>
        </w:numPr>
        <w:spacing w:beforeLines="100" w:after="156"/>
        <w:jc w:val="left"/>
        <w:rPr>
          <w:rFonts w:ascii="宋体" w:hAnsi="宋体"/>
          <w:sz w:val="28"/>
          <w:szCs w:val="28"/>
        </w:rPr>
      </w:pPr>
      <w:r>
        <w:rPr>
          <w:rFonts w:hint="eastAsia" w:ascii="宋体" w:hAnsi="宋体"/>
          <w:sz w:val="28"/>
          <w:szCs w:val="28"/>
        </w:rPr>
        <w:t>双基色LED条屏</w:t>
      </w:r>
    </w:p>
    <w:p>
      <w:pPr>
        <w:rPr>
          <w:rFonts w:ascii="宋体" w:hAnsi="宋体"/>
          <w:sz w:val="28"/>
          <w:szCs w:val="28"/>
        </w:rPr>
      </w:pPr>
      <w:r>
        <w:rPr>
          <w:rFonts w:hint="eastAsia" w:ascii="宋体" w:hAnsi="宋体"/>
          <w:sz w:val="28"/>
          <w:szCs w:val="28"/>
        </w:rPr>
        <w:t>1.投标产品需通过静电放电抗扰度、浪涌抗扰度、射频电磁场辐射抗扰度和温度适应性检测试验。</w:t>
      </w:r>
    </w:p>
    <w:p>
      <w:pPr>
        <w:rPr>
          <w:rFonts w:ascii="宋体" w:hAnsi="宋体"/>
          <w:sz w:val="28"/>
          <w:szCs w:val="28"/>
        </w:rPr>
      </w:pPr>
      <w:r>
        <w:rPr>
          <w:rFonts w:hint="eastAsia" w:ascii="宋体" w:hAnsi="宋体"/>
          <w:sz w:val="28"/>
          <w:szCs w:val="28"/>
        </w:rPr>
        <w:t>2.★投标产品平均无故障工作时间MTBF≥10万小时，故障平均修复时间MTTR不超过15分钟。（提供第三方检测报告复印件）</w:t>
      </w:r>
    </w:p>
    <w:p>
      <w:pPr>
        <w:rPr>
          <w:rFonts w:ascii="宋体" w:hAnsi="宋体"/>
          <w:sz w:val="28"/>
          <w:szCs w:val="28"/>
        </w:rPr>
      </w:pPr>
      <w:r>
        <w:rPr>
          <w:rFonts w:hint="eastAsia" w:ascii="宋体" w:hAnsi="宋体"/>
          <w:sz w:val="28"/>
          <w:szCs w:val="28"/>
        </w:rPr>
        <w:t>3.★产品经过抗振、抗冲击、抗碰撞、跌落检测，且产品外观无损坏，能正常工作。（提供首页具有CANS标识的检测报告复印件）</w:t>
      </w:r>
    </w:p>
    <w:p>
      <w:pPr>
        <w:rPr>
          <w:rFonts w:ascii="宋体" w:hAnsi="宋体"/>
          <w:sz w:val="28"/>
          <w:szCs w:val="28"/>
        </w:rPr>
      </w:pPr>
      <w:r>
        <w:rPr>
          <w:rFonts w:hint="eastAsia" w:ascii="宋体" w:hAnsi="宋体"/>
          <w:sz w:val="28"/>
          <w:szCs w:val="28"/>
        </w:rPr>
        <w:t>4.投标产品LED像素直径3mm，像素点间距≤4mm;LED灯管的每个像素点由1纯红1纯绿LED灯构成</w:t>
      </w:r>
    </w:p>
    <w:p>
      <w:pPr>
        <w:rPr>
          <w:rFonts w:ascii="宋体" w:hAnsi="宋体"/>
          <w:sz w:val="28"/>
          <w:szCs w:val="28"/>
        </w:rPr>
      </w:pPr>
      <w:r>
        <w:rPr>
          <w:rFonts w:hint="eastAsia" w:ascii="宋体" w:hAnsi="宋体"/>
          <w:sz w:val="28"/>
          <w:szCs w:val="28"/>
        </w:rPr>
        <w:t>5.投标产品水平和垂直视角≥140°；亮度均匀性≥97%。</w:t>
      </w:r>
    </w:p>
    <w:p>
      <w:pPr>
        <w:rPr>
          <w:rFonts w:ascii="宋体" w:hAnsi="宋体"/>
          <w:sz w:val="28"/>
          <w:szCs w:val="28"/>
        </w:rPr>
      </w:pPr>
      <w:r>
        <w:rPr>
          <w:rFonts w:hint="eastAsia" w:ascii="宋体" w:hAnsi="宋体"/>
          <w:sz w:val="28"/>
          <w:szCs w:val="28"/>
        </w:rPr>
        <w:t>6.投标产品的显示单元亮度≥600Nits。</w:t>
      </w:r>
    </w:p>
    <w:p>
      <w:pPr>
        <w:rPr>
          <w:rFonts w:ascii="宋体" w:hAnsi="宋体"/>
          <w:sz w:val="28"/>
          <w:szCs w:val="28"/>
        </w:rPr>
      </w:pPr>
      <w:r>
        <w:rPr>
          <w:rFonts w:hint="eastAsia" w:ascii="宋体" w:hAnsi="宋体"/>
          <w:sz w:val="28"/>
          <w:szCs w:val="28"/>
        </w:rPr>
        <w:t>7.投标产品的LED像素失控率≤1/10000。</w:t>
      </w:r>
    </w:p>
    <w:p>
      <w:r>
        <w:rPr>
          <w:rFonts w:hint="eastAsia" w:ascii="宋体" w:hAnsi="宋体"/>
          <w:sz w:val="28"/>
          <w:szCs w:val="28"/>
        </w:rPr>
        <w:t>★参数需提供相关权威检测报告复印件予以证明，并加盖设备厂家公章</w:t>
      </w:r>
    </w:p>
    <w:p>
      <w:pPr>
        <w:pStyle w:val="5"/>
        <w:numPr>
          <w:ilvl w:val="2"/>
          <w:numId w:val="6"/>
        </w:numPr>
        <w:spacing w:beforeLines="100" w:after="156"/>
        <w:jc w:val="left"/>
        <w:rPr>
          <w:rFonts w:ascii="宋体" w:hAnsi="宋体"/>
          <w:sz w:val="28"/>
          <w:szCs w:val="28"/>
        </w:rPr>
      </w:pPr>
      <w:r>
        <w:rPr>
          <w:rFonts w:hint="eastAsia" w:ascii="宋体" w:hAnsi="宋体"/>
          <w:sz w:val="28"/>
          <w:szCs w:val="28"/>
        </w:rPr>
        <w:t>调度台参数要求</w:t>
      </w:r>
    </w:p>
    <w:p>
      <w:pPr>
        <w:spacing w:line="300" w:lineRule="auto"/>
        <w:ind w:firstLine="562"/>
        <w:rPr>
          <w:rFonts w:ascii="宋体" w:hAnsi="宋体"/>
          <w:b/>
          <w:sz w:val="28"/>
          <w:szCs w:val="28"/>
        </w:rPr>
      </w:pPr>
      <w:r>
        <w:rPr>
          <w:rFonts w:hint="eastAsia" w:ascii="宋体" w:hAnsi="宋体"/>
          <w:b/>
          <w:sz w:val="28"/>
          <w:szCs w:val="28"/>
        </w:rPr>
        <w:t>基本配置：</w:t>
      </w:r>
    </w:p>
    <w:p>
      <w:pPr>
        <w:spacing w:line="300" w:lineRule="auto"/>
        <w:ind w:firstLine="560"/>
        <w:rPr>
          <w:rFonts w:ascii="宋体" w:hAnsi="宋体"/>
          <w:sz w:val="28"/>
          <w:szCs w:val="28"/>
        </w:rPr>
      </w:pPr>
      <w:r>
        <w:rPr>
          <w:rFonts w:hint="eastAsia" w:ascii="宋体" w:hAnsi="宋体"/>
          <w:sz w:val="28"/>
          <w:szCs w:val="28"/>
        </w:rPr>
        <w:t>共20席位，弧形设计总长不低于19.3米，底部采用落地式柜体设计，配件共包显示器支架，专用键盘抽屉，主机托盘,20把专用工学椅，20套专业专用PDU。</w:t>
      </w:r>
    </w:p>
    <w:p>
      <w:pPr>
        <w:spacing w:line="300" w:lineRule="auto"/>
        <w:ind w:firstLine="562"/>
        <w:rPr>
          <w:rFonts w:ascii="宋体" w:hAnsi="宋体"/>
          <w:b/>
          <w:sz w:val="28"/>
          <w:szCs w:val="28"/>
        </w:rPr>
      </w:pPr>
      <w:r>
        <w:rPr>
          <w:rFonts w:hint="eastAsia" w:ascii="宋体" w:hAnsi="宋体"/>
          <w:b/>
          <w:sz w:val="28"/>
          <w:szCs w:val="28"/>
        </w:rPr>
        <w:t>材质及功能要求：</w:t>
      </w:r>
    </w:p>
    <w:p>
      <w:pPr>
        <w:spacing w:line="300" w:lineRule="auto"/>
        <w:ind w:firstLine="560"/>
        <w:rPr>
          <w:rFonts w:ascii="宋体" w:hAnsi="宋体"/>
          <w:sz w:val="28"/>
          <w:szCs w:val="28"/>
        </w:rPr>
      </w:pPr>
      <w:r>
        <w:rPr>
          <w:rFonts w:hint="eastAsia" w:ascii="宋体" w:hAnsi="宋体"/>
          <w:sz w:val="28"/>
          <w:szCs w:val="28"/>
        </w:rPr>
        <w:t>1.</w:t>
      </w:r>
      <w:r>
        <w:rPr>
          <w:rFonts w:hint="eastAsia" w:ascii="宋体" w:hAnsi="宋体"/>
          <w:sz w:val="28"/>
          <w:szCs w:val="28"/>
        </w:rPr>
        <w:tab/>
      </w:r>
      <w:r>
        <w:rPr>
          <w:rFonts w:hint="eastAsia" w:ascii="宋体" w:hAnsi="宋体"/>
          <w:sz w:val="28"/>
          <w:szCs w:val="28"/>
        </w:rPr>
        <w:t>框架结构：内部主框架采用2.0mm镀锌钢板，主框架采用模块化搭接，截面呈倒梯形结构，高强度C型槽侧板与横向梁拉结，形成一个高强度独立单元模块。</w:t>
      </w:r>
    </w:p>
    <w:p>
      <w:pPr>
        <w:spacing w:line="300" w:lineRule="auto"/>
        <w:ind w:firstLine="560"/>
        <w:rPr>
          <w:rFonts w:ascii="宋体" w:hAnsi="宋体"/>
          <w:sz w:val="28"/>
          <w:szCs w:val="28"/>
        </w:rPr>
      </w:pPr>
      <w:r>
        <w:rPr>
          <w:rFonts w:hint="eastAsia" w:ascii="宋体" w:hAnsi="宋体"/>
          <w:sz w:val="28"/>
          <w:szCs w:val="28"/>
        </w:rPr>
        <w:t>2.</w:t>
      </w:r>
      <w:r>
        <w:rPr>
          <w:rFonts w:hint="eastAsia" w:ascii="宋体" w:hAnsi="宋体"/>
          <w:sz w:val="28"/>
          <w:szCs w:val="28"/>
        </w:rPr>
        <w:tab/>
      </w:r>
      <w:r>
        <w:rPr>
          <w:rFonts w:hint="eastAsia" w:ascii="宋体" w:hAnsi="宋体"/>
          <w:sz w:val="28"/>
          <w:szCs w:val="28"/>
        </w:rPr>
        <w:t>台面板：采用颗粒板双贴进口HPL热固性树脂浸渍纸高压装饰层积板，整体厚度不低于27mm。底部与支撑横梁及支撑手臂连接形成二次框架，整体更加牢固，每组桌面间需使用定制拉耳连接栓连接，截面需安装定制水平定位件，使的桌面更加平整，两桌面间缝隙更小，整体更美观工艺性更强。</w:t>
      </w:r>
    </w:p>
    <w:p>
      <w:pPr>
        <w:spacing w:line="300" w:lineRule="auto"/>
        <w:ind w:firstLine="560"/>
        <w:rPr>
          <w:rFonts w:ascii="宋体" w:hAnsi="宋体"/>
          <w:sz w:val="28"/>
          <w:szCs w:val="28"/>
        </w:rPr>
      </w:pPr>
      <w:r>
        <w:rPr>
          <w:rFonts w:hint="eastAsia" w:ascii="宋体" w:hAnsi="宋体"/>
          <w:sz w:val="28"/>
          <w:szCs w:val="28"/>
        </w:rPr>
        <w:t>3.</w:t>
      </w:r>
      <w:r>
        <w:rPr>
          <w:rFonts w:hint="eastAsia" w:ascii="宋体" w:hAnsi="宋体"/>
          <w:sz w:val="28"/>
          <w:szCs w:val="28"/>
        </w:rPr>
        <w:tab/>
      </w:r>
      <w:r>
        <w:rPr>
          <w:rFonts w:hint="eastAsia" w:ascii="宋体" w:hAnsi="宋体"/>
          <w:sz w:val="28"/>
          <w:szCs w:val="28"/>
        </w:rPr>
        <w:t>台面边缘：台面边缘的手枕边应为聚氨酯材质加工形成，通过波浪式齿口与台面板链接，以保证台面边位的平整性和可靠力度。以确保工作人员长期工作的舒适度，避免疲劳及损伤肢体。手枕边表面为麻面效果，防止划伤，满足轻微划伤可以自动修复。</w:t>
      </w:r>
    </w:p>
    <w:p>
      <w:pPr>
        <w:spacing w:line="300" w:lineRule="auto"/>
        <w:ind w:firstLine="560"/>
        <w:rPr>
          <w:rFonts w:ascii="宋体" w:hAnsi="宋体"/>
          <w:sz w:val="28"/>
          <w:szCs w:val="28"/>
        </w:rPr>
      </w:pPr>
      <w:r>
        <w:rPr>
          <w:rFonts w:hint="eastAsia" w:ascii="宋体" w:hAnsi="宋体"/>
          <w:sz w:val="28"/>
          <w:szCs w:val="28"/>
        </w:rPr>
        <w:t>4.</w:t>
      </w:r>
      <w:r>
        <w:rPr>
          <w:rFonts w:hint="eastAsia" w:ascii="宋体" w:hAnsi="宋体"/>
          <w:sz w:val="28"/>
          <w:szCs w:val="28"/>
        </w:rPr>
        <w:tab/>
      </w:r>
      <w:r>
        <w:rPr>
          <w:rFonts w:hint="eastAsia" w:ascii="宋体" w:hAnsi="宋体"/>
          <w:sz w:val="28"/>
          <w:szCs w:val="28"/>
        </w:rPr>
        <w:t>前后门板：框架前后门板使用实木颗粒板双帖进口防火板加工，整体厚度20mm，连接铰链使用高档的进口五金件，具有质轻，手感好，开关门噪音小等优点，保证其100000次无障碍开启。同时铰链安装方式为快装式、方便安装和拆卸。</w:t>
      </w:r>
    </w:p>
    <w:p>
      <w:pPr>
        <w:spacing w:line="300" w:lineRule="auto"/>
        <w:ind w:firstLine="560"/>
        <w:rPr>
          <w:rFonts w:ascii="宋体" w:hAnsi="宋体"/>
          <w:sz w:val="28"/>
          <w:szCs w:val="28"/>
        </w:rPr>
      </w:pPr>
      <w:r>
        <w:rPr>
          <w:rFonts w:hint="eastAsia" w:ascii="宋体" w:hAnsi="宋体"/>
          <w:sz w:val="28"/>
          <w:szCs w:val="28"/>
        </w:rPr>
        <w:t>5.</w:t>
      </w:r>
      <w:r>
        <w:rPr>
          <w:rFonts w:hint="eastAsia" w:ascii="宋体" w:hAnsi="宋体"/>
          <w:sz w:val="28"/>
          <w:szCs w:val="28"/>
        </w:rPr>
        <w:tab/>
      </w:r>
      <w:r>
        <w:rPr>
          <w:rFonts w:hint="eastAsia" w:ascii="宋体" w:hAnsi="宋体"/>
          <w:sz w:val="28"/>
          <w:szCs w:val="28"/>
        </w:rPr>
        <w:t>*后背墙：双面加厚拉铝型材背板+威盛亚高压耐磨防火板（HPL)+开模铸铝配件，铝型材双面均具备有易于显示器支臂悬挂的凹槽。表面阳极氧化处理，其结构强度高，尺寸稳定，有很强的抗腐蚀性受力主框架铝型材厚度为2.5mm-9.5mm，所有配件为开模加工制成，保证颜色整体统一，互换性强。</w:t>
      </w:r>
    </w:p>
    <w:p>
      <w:pPr>
        <w:spacing w:line="300" w:lineRule="auto"/>
        <w:ind w:firstLine="560"/>
        <w:rPr>
          <w:rFonts w:ascii="宋体" w:hAnsi="宋体"/>
          <w:sz w:val="28"/>
          <w:szCs w:val="28"/>
        </w:rPr>
      </w:pPr>
      <w:r>
        <w:rPr>
          <w:rFonts w:hint="eastAsia" w:ascii="宋体" w:hAnsi="宋体"/>
          <w:sz w:val="28"/>
          <w:szCs w:val="28"/>
        </w:rPr>
        <w:t>6.</w:t>
      </w:r>
      <w:r>
        <w:rPr>
          <w:rFonts w:hint="eastAsia" w:ascii="宋体" w:hAnsi="宋体"/>
          <w:sz w:val="28"/>
          <w:szCs w:val="28"/>
        </w:rPr>
        <w:tab/>
      </w:r>
      <w:r>
        <w:rPr>
          <w:rFonts w:hint="eastAsia" w:ascii="宋体" w:hAnsi="宋体"/>
          <w:sz w:val="28"/>
          <w:szCs w:val="28"/>
        </w:rPr>
        <w:t>走线设计：两支撑腿后部下端及前部上端均设置有走线槽，控制台的线缆与设备分离，线缆具有独立的走线通道，保证电源线及信号线有双向走动，并保证互不干扰，实现强弱电分开的信号安全。</w:t>
      </w:r>
    </w:p>
    <w:p>
      <w:pPr>
        <w:spacing w:line="300" w:lineRule="auto"/>
        <w:ind w:firstLine="560"/>
        <w:rPr>
          <w:rFonts w:ascii="宋体" w:hAnsi="宋体"/>
          <w:sz w:val="28"/>
          <w:szCs w:val="28"/>
        </w:rPr>
      </w:pPr>
      <w:r>
        <w:rPr>
          <w:rFonts w:hint="eastAsia" w:ascii="宋体" w:hAnsi="宋体"/>
          <w:sz w:val="28"/>
          <w:szCs w:val="28"/>
        </w:rPr>
        <w:t>7.</w:t>
      </w:r>
      <w:r>
        <w:rPr>
          <w:rFonts w:hint="eastAsia" w:ascii="宋体" w:hAnsi="宋体"/>
          <w:sz w:val="28"/>
          <w:szCs w:val="28"/>
        </w:rPr>
        <w:tab/>
      </w:r>
      <w:r>
        <w:rPr>
          <w:rFonts w:hint="eastAsia" w:ascii="宋体" w:hAnsi="宋体"/>
          <w:sz w:val="28"/>
          <w:szCs w:val="28"/>
        </w:rPr>
        <w:t>散热设计：综合热空气从下向上的流动物理特性，因此在主框架底部设置散热孔作为进风孔，在主框架顶部设定散热网板作为出风孔这样的控制台散热设计可以保护设备的长时间可靠安全运行。</w:t>
      </w:r>
    </w:p>
    <w:p>
      <w:pPr>
        <w:pStyle w:val="4"/>
        <w:spacing w:before="120" w:after="120" w:line="360" w:lineRule="auto"/>
        <w:rPr>
          <w:rFonts w:ascii="宋体" w:hAnsi="宋体" w:eastAsia="宋体"/>
          <w:color w:val="000000"/>
          <w:sz w:val="28"/>
          <w:szCs w:val="28"/>
        </w:rPr>
      </w:pPr>
      <w:r>
        <w:rPr>
          <w:rFonts w:hint="eastAsia" w:ascii="宋体" w:hAnsi="宋体" w:eastAsia="宋体"/>
          <w:color w:val="000000"/>
          <w:sz w:val="28"/>
          <w:szCs w:val="28"/>
        </w:rPr>
        <w:t>3.</w:t>
      </w:r>
      <w:r>
        <w:rPr>
          <w:rFonts w:ascii="宋体" w:hAnsi="宋体" w:eastAsia="宋体"/>
          <w:color w:val="000000"/>
          <w:sz w:val="28"/>
          <w:szCs w:val="28"/>
        </w:rPr>
        <w:t>2</w:t>
      </w:r>
      <w:r>
        <w:rPr>
          <w:rFonts w:hint="eastAsia" w:ascii="宋体" w:hAnsi="宋体" w:eastAsia="宋体"/>
          <w:color w:val="000000"/>
          <w:sz w:val="28"/>
          <w:szCs w:val="28"/>
        </w:rPr>
        <w:t>主要设备清单</w:t>
      </w:r>
    </w:p>
    <w:tbl>
      <w:tblPr>
        <w:tblStyle w:val="10"/>
        <w:tblW w:w="9656" w:type="dxa"/>
        <w:tblInd w:w="91" w:type="dxa"/>
        <w:tblLayout w:type="autofit"/>
        <w:tblCellMar>
          <w:top w:w="0" w:type="dxa"/>
          <w:left w:w="108" w:type="dxa"/>
          <w:bottom w:w="0" w:type="dxa"/>
          <w:right w:w="108" w:type="dxa"/>
        </w:tblCellMar>
      </w:tblPr>
      <w:tblGrid>
        <w:gridCol w:w="599"/>
        <w:gridCol w:w="2252"/>
        <w:gridCol w:w="3818"/>
        <w:gridCol w:w="867"/>
        <w:gridCol w:w="708"/>
        <w:gridCol w:w="1412"/>
      </w:tblGrid>
      <w:tr>
        <w:tblPrEx>
          <w:tblCellMar>
            <w:top w:w="0" w:type="dxa"/>
            <w:left w:w="108" w:type="dxa"/>
            <w:bottom w:w="0" w:type="dxa"/>
            <w:right w:w="108" w:type="dxa"/>
          </w:tblCellMar>
        </w:tblPrEx>
        <w:trPr>
          <w:trHeight w:val="285" w:hRule="atLeast"/>
        </w:trPr>
        <w:tc>
          <w:tcPr>
            <w:tcW w:w="599" w:type="dxa"/>
            <w:tcBorders>
              <w:top w:val="single" w:color="auto" w:sz="4" w:space="0"/>
              <w:left w:val="single" w:color="auto" w:sz="4" w:space="0"/>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序号</w:t>
            </w:r>
          </w:p>
        </w:tc>
        <w:tc>
          <w:tcPr>
            <w:tcW w:w="2252"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名称</w:t>
            </w:r>
          </w:p>
        </w:tc>
        <w:tc>
          <w:tcPr>
            <w:tcW w:w="3818"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型号</w:t>
            </w:r>
            <w:r>
              <w:rPr>
                <w:rFonts w:hint="eastAsia" w:ascii="Arial" w:hAnsi="Arial" w:cs="Arial"/>
                <w:b/>
                <w:bCs/>
                <w:kern w:val="0"/>
                <w:sz w:val="18"/>
                <w:szCs w:val="18"/>
              </w:rPr>
              <w:t>/</w:t>
            </w:r>
            <w:r>
              <w:rPr>
                <w:rFonts w:hint="eastAsia" w:ascii="宋体" w:hAnsi="宋体" w:cs="宋体"/>
                <w:b/>
                <w:bCs/>
                <w:kern w:val="0"/>
                <w:sz w:val="18"/>
                <w:szCs w:val="18"/>
              </w:rPr>
              <w:t>规格</w:t>
            </w:r>
          </w:p>
        </w:tc>
        <w:tc>
          <w:tcPr>
            <w:tcW w:w="867"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数量</w:t>
            </w:r>
          </w:p>
        </w:tc>
        <w:tc>
          <w:tcPr>
            <w:tcW w:w="708" w:type="dxa"/>
            <w:tcBorders>
              <w:top w:val="single" w:color="auto" w:sz="4" w:space="0"/>
              <w:left w:val="nil"/>
              <w:bottom w:val="single" w:color="auto" w:sz="4" w:space="0"/>
              <w:right w:val="single" w:color="auto" w:sz="4" w:space="0"/>
            </w:tcBorders>
            <w:shd w:val="clear" w:color="000000" w:fill="C0C0C0"/>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单位</w:t>
            </w:r>
          </w:p>
        </w:tc>
        <w:tc>
          <w:tcPr>
            <w:tcW w:w="1412" w:type="dxa"/>
            <w:tcBorders>
              <w:top w:val="single" w:color="auto" w:sz="4" w:space="0"/>
              <w:left w:val="nil"/>
              <w:bottom w:val="single" w:color="auto" w:sz="4" w:space="0"/>
              <w:right w:val="single" w:color="auto" w:sz="4" w:space="0"/>
            </w:tcBorders>
            <w:shd w:val="clear" w:color="000000" w:fill="C0C0C0"/>
            <w:vAlign w:val="center"/>
          </w:tcPr>
          <w:p>
            <w:pPr>
              <w:widowControl/>
              <w:jc w:val="left"/>
              <w:rPr>
                <w:rFonts w:ascii="宋体" w:hAnsi="宋体" w:cs="宋体"/>
                <w:b/>
                <w:bCs/>
                <w:kern w:val="0"/>
                <w:sz w:val="18"/>
                <w:szCs w:val="18"/>
              </w:rPr>
            </w:pPr>
            <w:r>
              <w:rPr>
                <w:rFonts w:hint="eastAsia" w:ascii="宋体" w:hAnsi="宋体" w:cs="宋体"/>
                <w:b/>
                <w:bCs/>
                <w:kern w:val="0"/>
                <w:sz w:val="18"/>
                <w:szCs w:val="18"/>
              </w:rPr>
              <w:t>厂家</w:t>
            </w: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小间距LED室内全彩显示屏</w:t>
            </w:r>
          </w:p>
        </w:tc>
        <w:tc>
          <w:tcPr>
            <w:tcW w:w="3818" w:type="dxa"/>
            <w:tcBorders>
              <w:top w:val="nil"/>
              <w:left w:val="nil"/>
              <w:bottom w:val="single" w:color="auto" w:sz="4" w:space="0"/>
              <w:right w:val="single" w:color="auto" w:sz="4" w:space="0"/>
            </w:tcBorders>
            <w:vAlign w:val="center"/>
          </w:tcPr>
          <w:p>
            <w:pPr>
              <w:widowControl/>
              <w:jc w:val="left"/>
              <w:rPr>
                <w:kern w:val="0"/>
                <w:sz w:val="18"/>
                <w:szCs w:val="18"/>
              </w:rPr>
            </w:pPr>
            <w:r>
              <w:rPr>
                <w:rFonts w:hint="eastAsia"/>
                <w:kern w:val="0"/>
                <w:sz w:val="18"/>
                <w:szCs w:val="18"/>
              </w:rPr>
              <w:t>点间距不大于1.57mm,显示尺寸不小于19.2*4.05m，分辨率不小于12288.0*2592.0</w:t>
            </w:r>
          </w:p>
          <w:p>
            <w:pPr>
              <w:widowControl/>
              <w:jc w:val="left"/>
              <w:rPr>
                <w:kern w:val="0"/>
                <w:sz w:val="18"/>
                <w:szCs w:val="18"/>
              </w:rPr>
            </w:pPr>
            <w:r>
              <w:rPr>
                <w:rFonts w:hint="eastAsia"/>
                <w:kern w:val="0"/>
                <w:sz w:val="18"/>
                <w:szCs w:val="18"/>
              </w:rPr>
              <w:t>箱体比例：16:9，全封闭压铸铝材质；</w:t>
            </w:r>
          </w:p>
          <w:p>
            <w:pPr>
              <w:widowControl/>
              <w:jc w:val="left"/>
              <w:rPr>
                <w:kern w:val="0"/>
                <w:sz w:val="18"/>
                <w:szCs w:val="18"/>
              </w:rPr>
            </w:pPr>
            <w:r>
              <w:rPr>
                <w:rFonts w:hint="eastAsia"/>
                <w:kern w:val="0"/>
                <w:sz w:val="18"/>
                <w:szCs w:val="18"/>
              </w:rPr>
              <w:t>像素结构：LED表贴三合一；</w:t>
            </w:r>
          </w:p>
          <w:p>
            <w:pPr>
              <w:widowControl/>
              <w:rPr>
                <w:kern w:val="0"/>
                <w:sz w:val="18"/>
                <w:szCs w:val="18"/>
              </w:rPr>
            </w:pPr>
            <w:r>
              <w:rPr>
                <w:rFonts w:hint="eastAsia"/>
                <w:kern w:val="0"/>
                <w:sz w:val="18"/>
                <w:szCs w:val="18"/>
              </w:rPr>
              <w:t>箱体分辨率：384×216，箱体尺寸（mm）：600（W）×337.5（H）×50.9（D）；</w:t>
            </w:r>
          </w:p>
          <w:p>
            <w:pPr>
              <w:widowControl/>
              <w:rPr>
                <w:rFonts w:ascii="Arial" w:hAnsi="Arial" w:cs="Arial"/>
                <w:kern w:val="0"/>
                <w:sz w:val="18"/>
                <w:szCs w:val="18"/>
              </w:rPr>
            </w:pPr>
            <w:r>
              <w:rPr>
                <w:rFonts w:hint="eastAsia"/>
                <w:kern w:val="0"/>
                <w:sz w:val="18"/>
                <w:szCs w:val="18"/>
              </w:rPr>
              <w:t>维护方式：完全前维护，灯板电源和接收卡前维护。</w:t>
            </w:r>
          </w:p>
        </w:tc>
        <w:tc>
          <w:tcPr>
            <w:tcW w:w="867" w:type="dxa"/>
            <w:tcBorders>
              <w:top w:val="nil"/>
              <w:left w:val="nil"/>
              <w:bottom w:val="single" w:color="auto" w:sz="4" w:space="0"/>
              <w:right w:val="single" w:color="auto" w:sz="4" w:space="0"/>
            </w:tcBorders>
            <w:vAlign w:val="center"/>
          </w:tcPr>
          <w:p>
            <w:pPr>
              <w:widowControl/>
              <w:rPr>
                <w:rFonts w:ascii="Arial" w:hAnsi="Arial" w:cs="Arial"/>
                <w:kern w:val="0"/>
                <w:sz w:val="18"/>
                <w:szCs w:val="18"/>
              </w:rPr>
            </w:pPr>
            <w:r>
              <w:rPr>
                <w:rFonts w:hint="eastAsia" w:ascii="宋体" w:hAnsi="宋体" w:cs="宋体"/>
                <w:kern w:val="0"/>
                <w:sz w:val="18"/>
                <w:szCs w:val="18"/>
              </w:rPr>
              <w:t>77.76</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Arial" w:hAnsi="Arial" w:cs="Arial"/>
                <w:kern w:val="0"/>
                <w:sz w:val="18"/>
                <w:szCs w:val="18"/>
              </w:rPr>
              <w:t>㎡</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510"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LED控制器</w:t>
            </w:r>
          </w:p>
        </w:tc>
        <w:tc>
          <w:tcPr>
            <w:tcW w:w="3818" w:type="dxa"/>
            <w:tcBorders>
              <w:top w:val="nil"/>
              <w:left w:val="nil"/>
              <w:bottom w:val="single" w:color="auto" w:sz="4" w:space="0"/>
              <w:right w:val="single" w:color="auto" w:sz="4" w:space="0"/>
            </w:tcBorders>
            <w:vAlign w:val="center"/>
          </w:tcPr>
          <w:p>
            <w:pPr>
              <w:widowControl/>
              <w:rPr>
                <w:kern w:val="0"/>
                <w:sz w:val="18"/>
                <w:szCs w:val="18"/>
              </w:rPr>
            </w:pPr>
            <w:r>
              <w:rPr>
                <w:rFonts w:hint="eastAsia"/>
                <w:kern w:val="0"/>
                <w:sz w:val="18"/>
                <w:szCs w:val="18"/>
              </w:rPr>
              <w:t>LED全彩显示屏控制器,1路DVI，1路HDMI，1路DP。输出：8路网口输出</w:t>
            </w:r>
          </w:p>
          <w:p>
            <w:pPr>
              <w:widowControl/>
              <w:rPr>
                <w:kern w:val="0"/>
                <w:sz w:val="18"/>
                <w:szCs w:val="18"/>
              </w:rPr>
            </w:pPr>
            <w:r>
              <w:rPr>
                <w:rFonts w:hint="eastAsia"/>
                <w:kern w:val="0"/>
                <w:sz w:val="18"/>
                <w:szCs w:val="18"/>
              </w:rPr>
              <w:t>带载分辨率3840*1080@60</w:t>
            </w:r>
          </w:p>
        </w:tc>
        <w:tc>
          <w:tcPr>
            <w:tcW w:w="867" w:type="dxa"/>
            <w:tcBorders>
              <w:top w:val="nil"/>
              <w:left w:val="nil"/>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宋体" w:hAnsi="宋体" w:cs="宋体"/>
                <w:kern w:val="0"/>
                <w:sz w:val="18"/>
                <w:szCs w:val="18"/>
              </w:rPr>
              <w:t>21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3</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大屏支架</w:t>
            </w:r>
          </w:p>
        </w:tc>
        <w:tc>
          <w:tcPr>
            <w:tcW w:w="3818" w:type="dxa"/>
            <w:tcBorders>
              <w:top w:val="nil"/>
              <w:left w:val="nil"/>
              <w:bottom w:val="single" w:color="auto" w:sz="4" w:space="0"/>
              <w:right w:val="single" w:color="auto" w:sz="4" w:space="0"/>
            </w:tcBorders>
            <w:vAlign w:val="center"/>
          </w:tcPr>
          <w:p>
            <w:pPr>
              <w:widowControl/>
            </w:pPr>
            <w:r>
              <w:rPr>
                <w:rFonts w:hint="eastAsia"/>
                <w:kern w:val="0"/>
                <w:sz w:val="18"/>
                <w:szCs w:val="18"/>
              </w:rPr>
              <w:t>适用于模组及箱体前维护产品；贴着墙安装；屏表面离后墙15cm以内</w:t>
            </w:r>
            <w:r>
              <w:rPr>
                <w:kern w:val="0"/>
                <w:sz w:val="18"/>
                <w:szCs w:val="18"/>
              </w:rPr>
              <w:t>；</w:t>
            </w:r>
            <w:r>
              <w:rPr>
                <w:rFonts w:hint="eastAsia"/>
                <w:kern w:val="0"/>
                <w:sz w:val="18"/>
                <w:szCs w:val="18"/>
              </w:rPr>
              <w:t>墙需承重墙</w:t>
            </w:r>
            <w:r>
              <w:rPr>
                <w:kern w:val="0"/>
                <w:sz w:val="18"/>
                <w:szCs w:val="18"/>
              </w:rPr>
              <w:t>；</w:t>
            </w:r>
            <w:r>
              <w:rPr>
                <w:rFonts w:hint="eastAsia"/>
                <w:kern w:val="0"/>
                <w:sz w:val="18"/>
                <w:szCs w:val="18"/>
              </w:rPr>
              <w:t>与屏体相关的LED镀锌钢结构框架设计（中标后需提供详细施工图）、制作及安装。镀锌钢结构，黑钛金不锈钢包边，边框暂定5公分宽，挂墙安装</w:t>
            </w:r>
          </w:p>
        </w:tc>
        <w:tc>
          <w:tcPr>
            <w:tcW w:w="867" w:type="dxa"/>
            <w:tcBorders>
              <w:top w:val="nil"/>
              <w:left w:val="nil"/>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4</w:t>
            </w:r>
          </w:p>
        </w:tc>
        <w:tc>
          <w:tcPr>
            <w:tcW w:w="2252" w:type="dxa"/>
            <w:tcBorders>
              <w:top w:val="nil"/>
              <w:left w:val="nil"/>
              <w:bottom w:val="single" w:color="auto" w:sz="4" w:space="0"/>
              <w:right w:val="single" w:color="auto" w:sz="4" w:space="0"/>
            </w:tcBorders>
            <w:noWrap/>
            <w:vAlign w:val="center"/>
          </w:tcPr>
          <w:p>
            <w:pPr>
              <w:widowControl/>
              <w:jc w:val="left"/>
              <w:rPr>
                <w:sz w:val="18"/>
                <w:szCs w:val="18"/>
              </w:rPr>
            </w:pPr>
            <w:r>
              <w:rPr>
                <w:rFonts w:hint="eastAsia"/>
                <w:sz w:val="18"/>
                <w:szCs w:val="18"/>
              </w:rPr>
              <w:t>智能配电柜</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类型：100KW配电柜;控制：欧姆龙PLC控制器，网络远程控制;元器件：德力西断路器，施耐德接触器；输入电压：380V；输出电压：220V</w:t>
            </w:r>
            <w:r>
              <w:rPr>
                <w:rFonts w:ascii="宋体" w:hAnsi="宋体" w:cs="宋体"/>
                <w:color w:val="000000"/>
                <w:kern w:val="0"/>
                <w:sz w:val="18"/>
                <w:szCs w:val="18"/>
              </w:rPr>
              <w:t>；</w:t>
            </w:r>
            <w:r>
              <w:rPr>
                <w:rFonts w:hint="eastAsia" w:ascii="宋体" w:hAnsi="宋体" w:cs="宋体"/>
                <w:color w:val="000000"/>
                <w:kern w:val="0"/>
                <w:sz w:val="18"/>
                <w:szCs w:val="18"/>
              </w:rPr>
              <w:t>输出回路：三相回路，30个单相回路</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highlight w:val="yellow"/>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5</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sz w:val="18"/>
                <w:szCs w:val="18"/>
              </w:rPr>
              <w:t>视频综合平台</w:t>
            </w:r>
          </w:p>
        </w:tc>
        <w:tc>
          <w:tcPr>
            <w:tcW w:w="3818" w:type="dxa"/>
            <w:tcBorders>
              <w:top w:val="nil"/>
              <w:left w:val="nil"/>
              <w:bottom w:val="single" w:color="auto" w:sz="4" w:space="0"/>
              <w:right w:val="single" w:color="auto" w:sz="4" w:space="0"/>
            </w:tcBorders>
            <w:vAlign w:val="center"/>
          </w:tcPr>
          <w:p>
            <w:pPr>
              <w:widowControl/>
              <w:rPr>
                <w:kern w:val="0"/>
                <w:sz w:val="18"/>
                <w:szCs w:val="18"/>
              </w:rPr>
            </w:pPr>
            <w:r>
              <w:rPr>
                <w:rFonts w:hint="eastAsia"/>
                <w:kern w:val="0"/>
                <w:sz w:val="18"/>
                <w:szCs w:val="18"/>
              </w:rPr>
              <w:t>8U标准机箱，满足各种规模的监控需求；标准机架式设计，运营级ATCA机箱系统；插拔式模块化设计，可根据需求灵活扩展；5槽位机箱，双电源适配器，单主控板；业务模块支持热插拔、双电源冗余、智能风扇自动调温，确保系统稳定可靠；双高速无阻塞背板设计，满足大容量视频数据高速交换的需求。本次配置3块8个DVI输出解码板，2块8个HDMI输入编码板。</w:t>
            </w:r>
          </w:p>
          <w:p>
            <w:pPr>
              <w:widowControl/>
              <w:rPr>
                <w:kern w:val="0"/>
                <w:sz w:val="18"/>
                <w:szCs w:val="18"/>
              </w:rPr>
            </w:pPr>
            <w:r>
              <w:rPr>
                <w:rFonts w:hint="eastAsia"/>
                <w:kern w:val="0"/>
                <w:sz w:val="18"/>
                <w:szCs w:val="18"/>
              </w:rPr>
              <w:t>输出解码板：</w:t>
            </w:r>
          </w:p>
          <w:p>
            <w:pPr>
              <w:widowControl/>
              <w:rPr>
                <w:kern w:val="0"/>
                <w:sz w:val="18"/>
                <w:szCs w:val="18"/>
              </w:rPr>
            </w:pPr>
            <w:r>
              <w:rPr>
                <w:rFonts w:hint="eastAsia"/>
                <w:kern w:val="0"/>
                <w:sz w:val="18"/>
                <w:szCs w:val="18"/>
              </w:rPr>
              <w:t>8个DVI输出口，支持小间距全彩显示屏，分辨率适应性更佳;支持16路800W/64路1080P/128路720P/256路4CIF解码H.264/H.265解码；支持大屏拼接漫游；1个DB15转8路音频输出；</w:t>
            </w:r>
          </w:p>
          <w:p>
            <w:pPr>
              <w:widowControl/>
              <w:rPr>
                <w:rFonts w:ascii="宋体" w:hAnsi="宋体" w:cs="宋体"/>
                <w:kern w:val="0"/>
                <w:sz w:val="18"/>
                <w:szCs w:val="18"/>
              </w:rPr>
            </w:pPr>
            <w:r>
              <w:rPr>
                <w:rFonts w:hint="eastAsia"/>
                <w:kern w:val="0"/>
                <w:sz w:val="18"/>
                <w:szCs w:val="18"/>
              </w:rPr>
              <w:t>输入编码板：视频输入口：8路视频输入，HDMI口（HDMI音频内嵌，实现HDMI视音频信号通过HDMI线接入）；编码标准：标准H.264；</w:t>
            </w:r>
            <w:r>
              <w:rPr>
                <w:rFonts w:hint="eastAsia"/>
                <w:kern w:val="0"/>
                <w:sz w:val="18"/>
                <w:szCs w:val="18"/>
              </w:rPr>
              <w:br w:type="textWrapping"/>
            </w:r>
            <w:r>
              <w:rPr>
                <w:rFonts w:hint="eastAsia"/>
                <w:kern w:val="0"/>
                <w:sz w:val="18"/>
                <w:szCs w:val="18"/>
              </w:rPr>
              <w:t>编码能力：8路，支持的编码分辨率为：1080P/720P/4CIF/CIF/QCIF；</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6</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智能大屏管理平台</w:t>
            </w:r>
          </w:p>
        </w:tc>
        <w:tc>
          <w:tcPr>
            <w:tcW w:w="3818" w:type="dxa"/>
            <w:tcBorders>
              <w:top w:val="nil"/>
              <w:left w:val="nil"/>
              <w:bottom w:val="single" w:color="auto" w:sz="4" w:space="0"/>
              <w:right w:val="single" w:color="auto" w:sz="4" w:space="0"/>
            </w:tcBorders>
            <w:vAlign w:val="center"/>
          </w:tcPr>
          <w:p>
            <w:pPr>
              <w:spacing w:line="320" w:lineRule="exact"/>
              <w:rPr>
                <w:rFonts w:ascii="宋体" w:hAnsi="宋体" w:cs="宋体"/>
                <w:kern w:val="0"/>
                <w:sz w:val="18"/>
                <w:szCs w:val="18"/>
              </w:rPr>
            </w:pPr>
            <w:r>
              <w:rPr>
                <w:rFonts w:hint="eastAsia" w:ascii="宋体" w:hAnsi="宋体"/>
                <w:sz w:val="18"/>
                <w:szCs w:val="18"/>
              </w:rPr>
              <w:t>1.系统具备 C/S 和 B/S 结构，可通过客户端软件、平板和浏览器对大屏系统进行统一管理，包括大屏门户、 场景配置、预案切换、远程操控、 信号控制、 一键上墙、内容切换、多屏互动、窗口叠加/拼接/漫游/放大/缩小/移动/关闭等操作；支持查看信号源实时画面，实时查看大屏中正在播放的内容等功能; 2.支持通过平板设置大屏门户菜单，可切换屏幕进行内容显示；支持通过门户菜单实现对大屏内容显示的导航操作；支持控制正在播放视频的进度，启动、停止播放；支持在平板上进行 PPT 上一页、下一页等操作；支持同步 WEB 端平台添加的所有内容，可实时切换大屏中显示的网页、视频、图片等；支持查看场景详情；支持拖动信号源至场景，可设置该信号窗口的大小、位置、置顶、放大/还原、层级等；支持查看场景下的信号源列表；支持查看预案、启动预案、停止预案 3.软件平台采用模块化设计，实现实时浏览、录像回放、大屏管理、字幕管理、中控管理、音频配置、信息发布等系统互联互通，在同一平台下可对不同功能模块进行操作，实现统一管理</w:t>
            </w:r>
            <w:r>
              <w:rPr>
                <w:rFonts w:ascii="宋体" w:hAnsi="宋体"/>
                <w:sz w:val="18"/>
                <w:szCs w:val="18"/>
              </w:rPr>
              <w:t>。</w:t>
            </w:r>
            <w:r>
              <w:rPr>
                <w:rFonts w:hint="eastAsia" w:ascii="宋体" w:hAnsi="宋体"/>
                <w:sz w:val="18"/>
                <w:szCs w:val="18"/>
              </w:rPr>
              <w:t>4.支持可编程中控功能，通过对系统的编程配合周边的功能扩展模块，可实现灯光、音箱、投影、幕布、空调、窗帘、大屏等统一控制，支持模式切换</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7</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双基色LED条屏</w:t>
            </w:r>
          </w:p>
        </w:tc>
        <w:tc>
          <w:tcPr>
            <w:tcW w:w="3818" w:type="dxa"/>
            <w:tcBorders>
              <w:top w:val="nil"/>
              <w:left w:val="nil"/>
              <w:bottom w:val="single" w:color="auto" w:sz="4" w:space="0"/>
              <w:right w:val="single" w:color="auto" w:sz="4" w:space="0"/>
            </w:tcBorders>
            <w:vAlign w:val="center"/>
          </w:tcPr>
          <w:p>
            <w:pPr>
              <w:spacing w:line="320" w:lineRule="exact"/>
            </w:pPr>
            <w:r>
              <w:rPr>
                <w:rFonts w:hint="eastAsia" w:ascii="宋体" w:hAnsi="宋体"/>
                <w:sz w:val="18"/>
                <w:szCs w:val="18"/>
              </w:rPr>
              <w:t>点间距为4mm，显示尺寸不小于19.2*0.384m（与大屏配套），</w:t>
            </w:r>
            <w:r>
              <w:rPr>
                <w:rFonts w:ascii="宋体" w:hAnsi="宋体"/>
                <w:sz w:val="18"/>
                <w:szCs w:val="18"/>
              </w:rPr>
              <w:t>类型：室内双色Φ3；像素间距：4mm；像素密度：62500点/㎡；亮度：≥</w:t>
            </w:r>
            <w:r>
              <w:rPr>
                <w:rFonts w:hint="eastAsia" w:ascii="宋体" w:hAnsi="宋体"/>
                <w:sz w:val="18"/>
                <w:szCs w:val="18"/>
              </w:rPr>
              <w:t>6</w:t>
            </w:r>
            <w:r>
              <w:rPr>
                <w:rFonts w:ascii="宋体" w:hAnsi="宋体"/>
                <w:sz w:val="18"/>
                <w:szCs w:val="18"/>
              </w:rPr>
              <w:t>00cd/㎡；峰值功耗：≤500W/㎡；模组尺寸：256*128mm</w:t>
            </w:r>
          </w:p>
        </w:tc>
        <w:tc>
          <w:tcPr>
            <w:tcW w:w="867" w:type="dxa"/>
            <w:tcBorders>
              <w:top w:val="nil"/>
              <w:left w:val="nil"/>
              <w:bottom w:val="single" w:color="auto" w:sz="4" w:space="0"/>
              <w:right w:val="single" w:color="auto" w:sz="4" w:space="0"/>
            </w:tcBorders>
            <w:vAlign w:val="center"/>
          </w:tcPr>
          <w:p>
            <w:pPr>
              <w:widowControl/>
              <w:ind w:firstLine="180" w:firstLineChars="100"/>
              <w:rPr>
                <w:rFonts w:ascii="Arial" w:hAnsi="Arial" w:cs="Arial"/>
                <w:kern w:val="0"/>
                <w:sz w:val="18"/>
                <w:szCs w:val="18"/>
              </w:rPr>
            </w:pPr>
            <w:r>
              <w:rPr>
                <w:rFonts w:hint="eastAsia" w:ascii="宋体" w:hAnsi="宋体" w:cs="宋体"/>
                <w:kern w:val="0"/>
                <w:sz w:val="18"/>
                <w:szCs w:val="18"/>
              </w:rPr>
              <w:t>7.37</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Arial" w:hAnsi="Arial" w:cs="Arial"/>
                <w:kern w:val="0"/>
                <w:sz w:val="18"/>
                <w:szCs w:val="18"/>
              </w:rPr>
              <w:t>㎡</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8</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条屏发送卡</w:t>
            </w:r>
          </w:p>
        </w:tc>
        <w:tc>
          <w:tcPr>
            <w:tcW w:w="3818" w:type="dxa"/>
            <w:tcBorders>
              <w:top w:val="nil"/>
              <w:left w:val="nil"/>
              <w:bottom w:val="single" w:color="auto" w:sz="4" w:space="0"/>
              <w:right w:val="single" w:color="auto" w:sz="4" w:space="0"/>
            </w:tcBorders>
            <w:vAlign w:val="center"/>
          </w:tcPr>
          <w:p>
            <w:pPr>
              <w:spacing w:line="320" w:lineRule="exact"/>
              <w:rPr>
                <w:rFonts w:ascii="宋体" w:hAnsi="宋体"/>
                <w:sz w:val="18"/>
                <w:szCs w:val="18"/>
              </w:rPr>
            </w:pPr>
            <w:r>
              <w:rPr>
                <w:rFonts w:ascii="宋体" w:hAnsi="宋体"/>
                <w:sz w:val="18"/>
                <w:szCs w:val="18"/>
              </w:rPr>
              <w:t>单/双基色异步接收卡；控制点数：8192*128 4096*256 2048*512；区域支持的功能：图文/字幕/动画/农历/时间/模拟表盘/正负计时/温度/温湿度/噪声。高度最大带载16行，超过8行时宽度最大带载不超过32列</w:t>
            </w:r>
          </w:p>
        </w:tc>
        <w:tc>
          <w:tcPr>
            <w:tcW w:w="867" w:type="dxa"/>
            <w:tcBorders>
              <w:top w:val="nil"/>
              <w:left w:val="nil"/>
              <w:bottom w:val="single" w:color="auto" w:sz="4" w:space="0"/>
              <w:right w:val="single" w:color="auto"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9</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条屏配电柜</w:t>
            </w:r>
          </w:p>
        </w:tc>
        <w:tc>
          <w:tcPr>
            <w:tcW w:w="3818" w:type="dxa"/>
            <w:tcBorders>
              <w:top w:val="nil"/>
              <w:left w:val="nil"/>
              <w:bottom w:val="single" w:color="auto" w:sz="4" w:space="0"/>
              <w:right w:val="single" w:color="auto" w:sz="4" w:space="0"/>
            </w:tcBorders>
            <w:vAlign w:val="center"/>
          </w:tcPr>
          <w:p>
            <w:pPr>
              <w:spacing w:line="320" w:lineRule="exact"/>
              <w:rPr>
                <w:rFonts w:ascii="宋体" w:hAnsi="宋体"/>
                <w:sz w:val="18"/>
                <w:szCs w:val="18"/>
              </w:rPr>
            </w:pPr>
            <w:r>
              <w:rPr>
                <w:rFonts w:ascii="宋体" w:hAnsi="宋体"/>
                <w:sz w:val="18"/>
                <w:szCs w:val="18"/>
              </w:rPr>
              <w:t>类型：10KW配电柜；控制：欧姆龙PLC控制器，网络远程控制；元器件：德力西断路器，施耐德接触器；输入电压：380V；输出电压：220V；输出回路：3个单向回路</w:t>
            </w:r>
          </w:p>
        </w:tc>
        <w:tc>
          <w:tcPr>
            <w:tcW w:w="867" w:type="dxa"/>
            <w:tcBorders>
              <w:top w:val="nil"/>
              <w:left w:val="nil"/>
              <w:bottom w:val="single" w:color="auto" w:sz="4" w:space="0"/>
              <w:right w:val="single" w:color="auto"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10</w:t>
            </w:r>
          </w:p>
        </w:tc>
        <w:tc>
          <w:tcPr>
            <w:tcW w:w="2252" w:type="dxa"/>
            <w:tcBorders>
              <w:top w:val="nil"/>
              <w:left w:val="nil"/>
              <w:bottom w:val="single" w:color="auto" w:sz="4" w:space="0"/>
              <w:right w:val="single" w:color="auto" w:sz="4" w:space="0"/>
            </w:tcBorders>
            <w:vAlign w:val="center"/>
          </w:tcPr>
          <w:p>
            <w:pPr>
              <w:widowControl/>
              <w:jc w:val="left"/>
              <w:rPr>
                <w:sz w:val="18"/>
                <w:szCs w:val="18"/>
              </w:rPr>
            </w:pPr>
            <w:r>
              <w:rPr>
                <w:rFonts w:hint="eastAsia"/>
                <w:sz w:val="18"/>
                <w:szCs w:val="18"/>
              </w:rPr>
              <w:t>条屏支架</w:t>
            </w:r>
          </w:p>
        </w:tc>
        <w:tc>
          <w:tcPr>
            <w:tcW w:w="3818" w:type="dxa"/>
            <w:tcBorders>
              <w:top w:val="nil"/>
              <w:left w:val="nil"/>
              <w:bottom w:val="single" w:color="auto" w:sz="4" w:space="0"/>
              <w:right w:val="single" w:color="auto" w:sz="4" w:space="0"/>
            </w:tcBorders>
            <w:vAlign w:val="center"/>
          </w:tcPr>
          <w:p>
            <w:pPr>
              <w:spacing w:line="320" w:lineRule="exact"/>
              <w:rPr>
                <w:rFonts w:ascii="宋体" w:hAnsi="宋体"/>
                <w:sz w:val="18"/>
                <w:szCs w:val="18"/>
              </w:rPr>
            </w:pPr>
            <w:r>
              <w:rPr>
                <w:rFonts w:hint="eastAsia" w:ascii="宋体" w:hAnsi="宋体"/>
                <w:sz w:val="18"/>
                <w:szCs w:val="18"/>
              </w:rPr>
              <w:t>壁挂支架</w:t>
            </w:r>
          </w:p>
        </w:tc>
        <w:tc>
          <w:tcPr>
            <w:tcW w:w="867" w:type="dxa"/>
            <w:tcBorders>
              <w:top w:val="nil"/>
              <w:left w:val="nil"/>
              <w:bottom w:val="single" w:color="auto" w:sz="4" w:space="0"/>
              <w:right w:val="single" w:color="auto"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11</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sz w:val="18"/>
                <w:szCs w:val="18"/>
              </w:rPr>
              <w:t>HDMI高清线</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kern w:val="0"/>
                <w:sz w:val="18"/>
                <w:szCs w:val="18"/>
              </w:rPr>
              <w:t>HDMI电缆,HDMI/AM转HDMI/AM,黑,加强型</w:t>
            </w:r>
          </w:p>
        </w:tc>
        <w:tc>
          <w:tcPr>
            <w:tcW w:w="867" w:type="dxa"/>
            <w:tcBorders>
              <w:top w:val="nil"/>
              <w:left w:val="nil"/>
              <w:bottom w:val="single" w:color="auto" w:sz="4" w:space="0"/>
              <w:right w:val="single" w:color="auto"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40</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根</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12</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监控主机</w:t>
            </w:r>
          </w:p>
        </w:tc>
        <w:tc>
          <w:tcPr>
            <w:tcW w:w="3818"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双千兆网口，i7-7200U/32GB DDR4*1/512GB SSD*1，含windows 10 操作系统，</w:t>
            </w:r>
            <w:r>
              <w:rPr>
                <w:rFonts w:hint="eastAsia" w:ascii="宋体" w:hAnsi="宋体" w:cs="宋体"/>
                <w:color w:val="000000"/>
                <w:kern w:val="0"/>
                <w:sz w:val="18"/>
                <w:szCs w:val="18"/>
              </w:rPr>
              <w:t>含26显示器</w:t>
            </w:r>
          </w:p>
        </w:tc>
        <w:tc>
          <w:tcPr>
            <w:tcW w:w="867" w:type="dxa"/>
            <w:tcBorders>
              <w:top w:val="nil"/>
              <w:left w:val="nil"/>
              <w:bottom w:val="single" w:color="auto" w:sz="4" w:space="0"/>
              <w:right w:val="single" w:color="auto" w:sz="4" w:space="0"/>
            </w:tcBorders>
            <w:vAlign w:val="center"/>
          </w:tcPr>
          <w:p>
            <w:pPr>
              <w:widowControl/>
              <w:ind w:firstLine="180" w:firstLineChars="100"/>
              <w:rPr>
                <w:rFonts w:ascii="宋体" w:hAnsi="宋体" w:cs="宋体"/>
                <w:kern w:val="0"/>
                <w:sz w:val="18"/>
                <w:szCs w:val="18"/>
              </w:rPr>
            </w:pPr>
            <w:r>
              <w:rPr>
                <w:rFonts w:hint="eastAsia" w:ascii="宋体" w:hAnsi="宋体" w:cs="宋体"/>
                <w:kern w:val="0"/>
                <w:sz w:val="18"/>
                <w:szCs w:val="18"/>
              </w:rPr>
              <w:t>12</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13</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打印机</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A3黑白激光，复印扫描一体机</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13</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交换机</w:t>
            </w:r>
          </w:p>
        </w:tc>
        <w:tc>
          <w:tcPr>
            <w:tcW w:w="3818"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网管型交换机，机架式，24个千兆电口，4个千兆光口，交换容量336Gbps，包转发率96Mpps，1U高度，19英寸宽，工作温度：0℃～45℃，满负荷功耗24W；支持RIP/OSPF/VRRP，IPv6，VLAN，流量控制，ACL，QoS，端口镜像，环网RRPP/ERPS、支持SNMP V1/V2c/V3网管。</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14</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kern w:val="0"/>
                <w:sz w:val="18"/>
                <w:szCs w:val="18"/>
              </w:rPr>
              <w:t>标准服务器机柜</w:t>
            </w:r>
          </w:p>
        </w:tc>
        <w:tc>
          <w:tcPr>
            <w:tcW w:w="3818"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 xml:space="preserve">服务器机柜 </w:t>
            </w:r>
            <w:r>
              <w:rPr>
                <w:rFonts w:hint="eastAsia" w:ascii="宋体" w:hAnsi="宋体" w:cs="宋体"/>
                <w:color w:val="000000"/>
                <w:kern w:val="0"/>
                <w:sz w:val="18"/>
                <w:szCs w:val="18"/>
              </w:rPr>
              <w:t>标准42U</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15</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ipad平板</w:t>
            </w:r>
          </w:p>
        </w:tc>
        <w:tc>
          <w:tcPr>
            <w:tcW w:w="3818"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触摸</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16</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调度台</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20工位，含PDU、支架等</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17</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座椅</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真皮材质</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20</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把</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18</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空调</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5P</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台</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19</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气体灭火控制器</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GST-QKP01</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20</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柜式七氟丙烷气体灭火装置</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GQQ90/2.5</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21</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七氟丙烷灭火剂</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ascii="宋体" w:hAnsi="宋体" w:cs="宋体"/>
                <w:color w:val="000000"/>
                <w:kern w:val="0"/>
                <w:sz w:val="18"/>
                <w:szCs w:val="18"/>
              </w:rPr>
              <w:t>HFC227ea</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KG</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22</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消防烟感、温感指示灯等装置</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消防配套</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23</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大屏包边装饰</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包边至墙、隐藏门等</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trHeight w:val="285" w:hRule="atLeast"/>
        </w:trPr>
        <w:tc>
          <w:tcPr>
            <w:tcW w:w="599"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kern w:val="0"/>
                <w:sz w:val="18"/>
                <w:szCs w:val="18"/>
              </w:rPr>
            </w:pPr>
            <w:r>
              <w:rPr>
                <w:rFonts w:hint="eastAsia" w:ascii="Arial" w:hAnsi="Arial" w:cs="Arial"/>
                <w:kern w:val="0"/>
                <w:sz w:val="18"/>
                <w:szCs w:val="18"/>
              </w:rPr>
              <w:t>24</w:t>
            </w:r>
          </w:p>
        </w:tc>
        <w:tc>
          <w:tcPr>
            <w:tcW w:w="225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其他辅材</w:t>
            </w:r>
          </w:p>
        </w:tc>
        <w:tc>
          <w:tcPr>
            <w:tcW w:w="3818" w:type="dxa"/>
            <w:tcBorders>
              <w:top w:val="nil"/>
              <w:left w:val="nil"/>
              <w:bottom w:val="single" w:color="auto" w:sz="4" w:space="0"/>
              <w:right w:val="single" w:color="auto" w:sz="4" w:space="0"/>
            </w:tcBorders>
            <w:vAlign w:val="center"/>
          </w:tcPr>
          <w:p>
            <w:pPr>
              <w:widowControl/>
              <w:rPr>
                <w:rFonts w:ascii="宋体" w:hAnsi="宋体" w:cs="宋体"/>
                <w:color w:val="000000"/>
                <w:kern w:val="0"/>
                <w:sz w:val="18"/>
                <w:szCs w:val="18"/>
              </w:rPr>
            </w:pPr>
            <w:r>
              <w:rPr>
                <w:rFonts w:hint="eastAsia" w:ascii="宋体" w:hAnsi="宋体" w:cs="宋体"/>
                <w:color w:val="000000"/>
                <w:kern w:val="0"/>
                <w:sz w:val="18"/>
                <w:szCs w:val="18"/>
              </w:rPr>
              <w:t>网线、电源线等</w:t>
            </w:r>
          </w:p>
        </w:tc>
        <w:tc>
          <w:tcPr>
            <w:tcW w:w="867"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70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宗</w:t>
            </w:r>
          </w:p>
        </w:tc>
        <w:tc>
          <w:tcPr>
            <w:tcW w:w="141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bl>
    <w:p>
      <w:pPr>
        <w:pStyle w:val="27"/>
        <w:ind w:firstLine="0" w:firstLineChars="0"/>
        <w:rPr>
          <w:rFonts w:ascii="宋体" w:hAnsi="宋体"/>
          <w:sz w:val="28"/>
          <w:szCs w:val="28"/>
          <w:lang w:bidi="en-U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shape id="文本框 3" o:spid="_x0000_s4097" o:spt="202" type="#_x0000_t202" style="position:absolute;left:0pt;margin-top:0pt;height:10.35pt;width:4.5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">
          <v:path arrowok="t"/>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A5FA0"/>
    <w:multiLevelType w:val="multilevel"/>
    <w:tmpl w:val="016A5FA0"/>
    <w:lvl w:ilvl="0" w:tentative="0">
      <w:start w:val="2"/>
      <w:numFmt w:val="decimal"/>
      <w:lvlText w:val="%1"/>
      <w:lvlJc w:val="left"/>
      <w:pPr>
        <w:ind w:left="456" w:hanging="456"/>
      </w:pPr>
      <w:rPr>
        <w:rFonts w:hint="default"/>
      </w:rPr>
    </w:lvl>
    <w:lvl w:ilvl="1" w:tentative="0">
      <w:start w:val="2"/>
      <w:numFmt w:val="decimal"/>
      <w:lvlText w:val="%1.%2"/>
      <w:lvlJc w:val="left"/>
      <w:pPr>
        <w:ind w:left="456" w:hanging="456"/>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1E5146BB"/>
    <w:multiLevelType w:val="multilevel"/>
    <w:tmpl w:val="1E5146BB"/>
    <w:lvl w:ilvl="0" w:tentative="0">
      <w:start w:val="1"/>
      <w:numFmt w:val="japaneseCounting"/>
      <w:lvlText w:val="第%1章、"/>
      <w:lvlJc w:val="left"/>
      <w:pPr>
        <w:tabs>
          <w:tab w:val="left" w:pos="1860"/>
        </w:tabs>
        <w:ind w:left="1860" w:hanging="144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9B42B7B"/>
    <w:multiLevelType w:val="multilevel"/>
    <w:tmpl w:val="29B42B7B"/>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709"/>
        </w:tabs>
        <w:ind w:left="709"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3B363D98"/>
    <w:multiLevelType w:val="multilevel"/>
    <w:tmpl w:val="3B363D98"/>
    <w:lvl w:ilvl="0" w:tentative="0">
      <w:start w:val="1"/>
      <w:numFmt w:val="decimal"/>
      <w:pStyle w:val="6"/>
      <w:lvlText w:val="图%1."/>
      <w:lvlJc w:val="left"/>
      <w:pPr>
        <w:ind w:left="2263"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4">
    <w:nsid w:val="43931DE4"/>
    <w:multiLevelType w:val="multilevel"/>
    <w:tmpl w:val="43931DE4"/>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53CC6C21"/>
    <w:multiLevelType w:val="singleLevel"/>
    <w:tmpl w:val="53CC6C21"/>
    <w:lvl w:ilvl="0" w:tentative="0">
      <w:start w:val="1"/>
      <w:numFmt w:val="bullet"/>
      <w:lvlText w:val=""/>
      <w:lvlJc w:val="left"/>
      <w:pPr>
        <w:tabs>
          <w:tab w:val="left" w:pos="420"/>
        </w:tabs>
        <w:ind w:left="420" w:hanging="420"/>
      </w:pPr>
      <w:rPr>
        <w:rFonts w:hint="default" w:ascii="Wingdings" w:hAnsi="Wingdings"/>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666F3B"/>
    <w:rsid w:val="00003AE0"/>
    <w:rsid w:val="00033D3E"/>
    <w:rsid w:val="00033EE5"/>
    <w:rsid w:val="00054097"/>
    <w:rsid w:val="00080CDA"/>
    <w:rsid w:val="0009447C"/>
    <w:rsid w:val="000945A9"/>
    <w:rsid w:val="000B1B5A"/>
    <w:rsid w:val="000B4BBD"/>
    <w:rsid w:val="000C50E5"/>
    <w:rsid w:val="001165DF"/>
    <w:rsid w:val="0017303C"/>
    <w:rsid w:val="001731EB"/>
    <w:rsid w:val="001A78A2"/>
    <w:rsid w:val="001D41BD"/>
    <w:rsid w:val="001D4BB6"/>
    <w:rsid w:val="001D5DF6"/>
    <w:rsid w:val="001E02BA"/>
    <w:rsid w:val="00225544"/>
    <w:rsid w:val="00226212"/>
    <w:rsid w:val="002267E0"/>
    <w:rsid w:val="00233B04"/>
    <w:rsid w:val="002514E4"/>
    <w:rsid w:val="00251F21"/>
    <w:rsid w:val="00255221"/>
    <w:rsid w:val="00256002"/>
    <w:rsid w:val="00263E93"/>
    <w:rsid w:val="002667AE"/>
    <w:rsid w:val="00270447"/>
    <w:rsid w:val="00280A41"/>
    <w:rsid w:val="002860A4"/>
    <w:rsid w:val="002B28BB"/>
    <w:rsid w:val="002D310E"/>
    <w:rsid w:val="002E4016"/>
    <w:rsid w:val="00303B16"/>
    <w:rsid w:val="0032224B"/>
    <w:rsid w:val="0032307A"/>
    <w:rsid w:val="003240C4"/>
    <w:rsid w:val="00360044"/>
    <w:rsid w:val="0037083D"/>
    <w:rsid w:val="003772C4"/>
    <w:rsid w:val="003779B5"/>
    <w:rsid w:val="003817B8"/>
    <w:rsid w:val="00397F48"/>
    <w:rsid w:val="003B36C0"/>
    <w:rsid w:val="003D42F8"/>
    <w:rsid w:val="003E5532"/>
    <w:rsid w:val="00434DB4"/>
    <w:rsid w:val="00437763"/>
    <w:rsid w:val="004518C1"/>
    <w:rsid w:val="004753C4"/>
    <w:rsid w:val="0049006B"/>
    <w:rsid w:val="004B35A6"/>
    <w:rsid w:val="004C466D"/>
    <w:rsid w:val="004C5440"/>
    <w:rsid w:val="004E40DF"/>
    <w:rsid w:val="004E7BCD"/>
    <w:rsid w:val="004F2CFA"/>
    <w:rsid w:val="00500A63"/>
    <w:rsid w:val="00506B6B"/>
    <w:rsid w:val="00521F19"/>
    <w:rsid w:val="00562BF0"/>
    <w:rsid w:val="005B285C"/>
    <w:rsid w:val="005D2510"/>
    <w:rsid w:val="005E0C33"/>
    <w:rsid w:val="00601C79"/>
    <w:rsid w:val="00616FFB"/>
    <w:rsid w:val="0062006D"/>
    <w:rsid w:val="00666F3B"/>
    <w:rsid w:val="00687E49"/>
    <w:rsid w:val="006A0E3B"/>
    <w:rsid w:val="006E0DF9"/>
    <w:rsid w:val="006F5ADD"/>
    <w:rsid w:val="0070238C"/>
    <w:rsid w:val="00706275"/>
    <w:rsid w:val="0071374E"/>
    <w:rsid w:val="00714617"/>
    <w:rsid w:val="00754C47"/>
    <w:rsid w:val="007570AC"/>
    <w:rsid w:val="007705F4"/>
    <w:rsid w:val="007B21B6"/>
    <w:rsid w:val="007D1A51"/>
    <w:rsid w:val="007D31A5"/>
    <w:rsid w:val="00804622"/>
    <w:rsid w:val="00814721"/>
    <w:rsid w:val="00815E71"/>
    <w:rsid w:val="00822B6E"/>
    <w:rsid w:val="008314CB"/>
    <w:rsid w:val="00875598"/>
    <w:rsid w:val="00897290"/>
    <w:rsid w:val="008B4914"/>
    <w:rsid w:val="008B7F43"/>
    <w:rsid w:val="00933F5D"/>
    <w:rsid w:val="00953A96"/>
    <w:rsid w:val="00956088"/>
    <w:rsid w:val="0095744D"/>
    <w:rsid w:val="00962970"/>
    <w:rsid w:val="009A76FD"/>
    <w:rsid w:val="009B2AC1"/>
    <w:rsid w:val="009B2CA9"/>
    <w:rsid w:val="00A02E27"/>
    <w:rsid w:val="00A06915"/>
    <w:rsid w:val="00A260A4"/>
    <w:rsid w:val="00A40F2B"/>
    <w:rsid w:val="00A4381C"/>
    <w:rsid w:val="00A51D46"/>
    <w:rsid w:val="00A54EC7"/>
    <w:rsid w:val="00A551BB"/>
    <w:rsid w:val="00A70630"/>
    <w:rsid w:val="00A71A6B"/>
    <w:rsid w:val="00A86192"/>
    <w:rsid w:val="00A923C8"/>
    <w:rsid w:val="00A94F78"/>
    <w:rsid w:val="00AB0283"/>
    <w:rsid w:val="00AD7765"/>
    <w:rsid w:val="00AE2FF0"/>
    <w:rsid w:val="00AF1B65"/>
    <w:rsid w:val="00B01A76"/>
    <w:rsid w:val="00B164A0"/>
    <w:rsid w:val="00B201EF"/>
    <w:rsid w:val="00B4593B"/>
    <w:rsid w:val="00B465A5"/>
    <w:rsid w:val="00B605F8"/>
    <w:rsid w:val="00B64745"/>
    <w:rsid w:val="00B66810"/>
    <w:rsid w:val="00B71E70"/>
    <w:rsid w:val="00B926E2"/>
    <w:rsid w:val="00BA11A4"/>
    <w:rsid w:val="00BA3065"/>
    <w:rsid w:val="00BA7207"/>
    <w:rsid w:val="00BC4072"/>
    <w:rsid w:val="00BD172C"/>
    <w:rsid w:val="00BF4731"/>
    <w:rsid w:val="00C0581C"/>
    <w:rsid w:val="00C405CD"/>
    <w:rsid w:val="00C435EE"/>
    <w:rsid w:val="00C55204"/>
    <w:rsid w:val="00C600DC"/>
    <w:rsid w:val="00C7674A"/>
    <w:rsid w:val="00C82BDD"/>
    <w:rsid w:val="00C876B1"/>
    <w:rsid w:val="00CA448A"/>
    <w:rsid w:val="00CA4980"/>
    <w:rsid w:val="00CA7392"/>
    <w:rsid w:val="00CA7826"/>
    <w:rsid w:val="00CE3DC8"/>
    <w:rsid w:val="00CF1769"/>
    <w:rsid w:val="00CF4D10"/>
    <w:rsid w:val="00D1392E"/>
    <w:rsid w:val="00D14A0C"/>
    <w:rsid w:val="00D310E6"/>
    <w:rsid w:val="00D42CCE"/>
    <w:rsid w:val="00D60585"/>
    <w:rsid w:val="00D9098A"/>
    <w:rsid w:val="00D95429"/>
    <w:rsid w:val="00D95956"/>
    <w:rsid w:val="00DC2171"/>
    <w:rsid w:val="00DD61DF"/>
    <w:rsid w:val="00DE20E2"/>
    <w:rsid w:val="00DE3241"/>
    <w:rsid w:val="00DF1210"/>
    <w:rsid w:val="00E35BB9"/>
    <w:rsid w:val="00E518D9"/>
    <w:rsid w:val="00E56841"/>
    <w:rsid w:val="00E846B2"/>
    <w:rsid w:val="00ED2FCD"/>
    <w:rsid w:val="00ED32A8"/>
    <w:rsid w:val="00F2496F"/>
    <w:rsid w:val="00F30530"/>
    <w:rsid w:val="00F445B0"/>
    <w:rsid w:val="00F7002D"/>
    <w:rsid w:val="00F70C80"/>
    <w:rsid w:val="00F8111C"/>
    <w:rsid w:val="00F840D6"/>
    <w:rsid w:val="00F8763C"/>
    <w:rsid w:val="00FF0D4E"/>
    <w:rsid w:val="01E56E45"/>
    <w:rsid w:val="02982D92"/>
    <w:rsid w:val="03BE360A"/>
    <w:rsid w:val="042C0EBC"/>
    <w:rsid w:val="04365896"/>
    <w:rsid w:val="05AA5167"/>
    <w:rsid w:val="065B4D4F"/>
    <w:rsid w:val="06DA5055"/>
    <w:rsid w:val="099967CE"/>
    <w:rsid w:val="09D05E45"/>
    <w:rsid w:val="0C6527D6"/>
    <w:rsid w:val="0CD619C5"/>
    <w:rsid w:val="0D662D48"/>
    <w:rsid w:val="0D765500"/>
    <w:rsid w:val="0DFF169D"/>
    <w:rsid w:val="0EB20AD1"/>
    <w:rsid w:val="0EE251E1"/>
    <w:rsid w:val="0F6156CE"/>
    <w:rsid w:val="0F6432FA"/>
    <w:rsid w:val="107B3F20"/>
    <w:rsid w:val="107C2883"/>
    <w:rsid w:val="11903EF6"/>
    <w:rsid w:val="11C57C64"/>
    <w:rsid w:val="129D2BC8"/>
    <w:rsid w:val="12BB196F"/>
    <w:rsid w:val="13AC16D1"/>
    <w:rsid w:val="13EC5383"/>
    <w:rsid w:val="142C3A61"/>
    <w:rsid w:val="167069E6"/>
    <w:rsid w:val="16D44AE5"/>
    <w:rsid w:val="182C4B8E"/>
    <w:rsid w:val="1B080D1B"/>
    <w:rsid w:val="1B32420C"/>
    <w:rsid w:val="1B7B060F"/>
    <w:rsid w:val="1BB64747"/>
    <w:rsid w:val="1C1222ED"/>
    <w:rsid w:val="1D385E5B"/>
    <w:rsid w:val="1D946C7F"/>
    <w:rsid w:val="1DA9445C"/>
    <w:rsid w:val="1E543091"/>
    <w:rsid w:val="1FF72FE6"/>
    <w:rsid w:val="214C6253"/>
    <w:rsid w:val="2207522E"/>
    <w:rsid w:val="22D62F8D"/>
    <w:rsid w:val="22EC3898"/>
    <w:rsid w:val="24335831"/>
    <w:rsid w:val="24F74099"/>
    <w:rsid w:val="261D5702"/>
    <w:rsid w:val="290B7F9D"/>
    <w:rsid w:val="290D5C79"/>
    <w:rsid w:val="294805BD"/>
    <w:rsid w:val="29FD282F"/>
    <w:rsid w:val="2A445B9A"/>
    <w:rsid w:val="2A6D5BC8"/>
    <w:rsid w:val="2AAA1B21"/>
    <w:rsid w:val="2B2C681C"/>
    <w:rsid w:val="2B4A419C"/>
    <w:rsid w:val="2B570312"/>
    <w:rsid w:val="2D58606C"/>
    <w:rsid w:val="2E8E4CE9"/>
    <w:rsid w:val="2EEA4C00"/>
    <w:rsid w:val="2EF73CF0"/>
    <w:rsid w:val="31D30B6C"/>
    <w:rsid w:val="31F265E9"/>
    <w:rsid w:val="33254336"/>
    <w:rsid w:val="333E302E"/>
    <w:rsid w:val="339733AC"/>
    <w:rsid w:val="3692525E"/>
    <w:rsid w:val="37A32D17"/>
    <w:rsid w:val="39351851"/>
    <w:rsid w:val="397C551E"/>
    <w:rsid w:val="3A6F6E31"/>
    <w:rsid w:val="3CB706F4"/>
    <w:rsid w:val="3CE753A4"/>
    <w:rsid w:val="3E1C2105"/>
    <w:rsid w:val="3E95498C"/>
    <w:rsid w:val="3EB92D70"/>
    <w:rsid w:val="41E33AEE"/>
    <w:rsid w:val="422E02C4"/>
    <w:rsid w:val="429801C8"/>
    <w:rsid w:val="44413768"/>
    <w:rsid w:val="44DE708D"/>
    <w:rsid w:val="474126F1"/>
    <w:rsid w:val="479E1F58"/>
    <w:rsid w:val="492E6076"/>
    <w:rsid w:val="4A1D0657"/>
    <w:rsid w:val="4A3414FD"/>
    <w:rsid w:val="4A3C409E"/>
    <w:rsid w:val="4BD23D44"/>
    <w:rsid w:val="4C742085"/>
    <w:rsid w:val="4C806F03"/>
    <w:rsid w:val="4C885B30"/>
    <w:rsid w:val="4D9C6684"/>
    <w:rsid w:val="4FA42C81"/>
    <w:rsid w:val="506457FE"/>
    <w:rsid w:val="512A7492"/>
    <w:rsid w:val="523F39FE"/>
    <w:rsid w:val="52CF23B0"/>
    <w:rsid w:val="53430A03"/>
    <w:rsid w:val="53782235"/>
    <w:rsid w:val="53BF298F"/>
    <w:rsid w:val="560F46C3"/>
    <w:rsid w:val="59550F02"/>
    <w:rsid w:val="5A436665"/>
    <w:rsid w:val="5AB46C0D"/>
    <w:rsid w:val="5C671039"/>
    <w:rsid w:val="5D3D5EB2"/>
    <w:rsid w:val="5D93439C"/>
    <w:rsid w:val="5DB552B3"/>
    <w:rsid w:val="5F9B5C4C"/>
    <w:rsid w:val="62641720"/>
    <w:rsid w:val="62C54F90"/>
    <w:rsid w:val="62D9319B"/>
    <w:rsid w:val="62D96C8E"/>
    <w:rsid w:val="64FF0C2E"/>
    <w:rsid w:val="65F52031"/>
    <w:rsid w:val="67112D32"/>
    <w:rsid w:val="68C57892"/>
    <w:rsid w:val="69F374C8"/>
    <w:rsid w:val="69F7667E"/>
    <w:rsid w:val="6A057C99"/>
    <w:rsid w:val="6A1D349F"/>
    <w:rsid w:val="6ADA7D29"/>
    <w:rsid w:val="6C231EEE"/>
    <w:rsid w:val="6D3D4F01"/>
    <w:rsid w:val="6D98780A"/>
    <w:rsid w:val="6DF31506"/>
    <w:rsid w:val="70A67520"/>
    <w:rsid w:val="71520337"/>
    <w:rsid w:val="72C35A30"/>
    <w:rsid w:val="730B48C9"/>
    <w:rsid w:val="736135BD"/>
    <w:rsid w:val="73845A99"/>
    <w:rsid w:val="73F76F74"/>
    <w:rsid w:val="74B51309"/>
    <w:rsid w:val="74CC6292"/>
    <w:rsid w:val="760A11E0"/>
    <w:rsid w:val="764E74E5"/>
    <w:rsid w:val="76786980"/>
    <w:rsid w:val="77977A46"/>
    <w:rsid w:val="7AD618F6"/>
    <w:rsid w:val="7AD839FA"/>
    <w:rsid w:val="7AF6333A"/>
    <w:rsid w:val="7CBC6B36"/>
    <w:rsid w:val="7D985324"/>
    <w:rsid w:val="7EF230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5"/>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6"/>
    <w:qFormat/>
    <w:uiPriority w:val="0"/>
    <w:pPr>
      <w:keepNext/>
      <w:keepLines/>
      <w:spacing w:beforeLines="50" w:afterLines="50" w:line="360" w:lineRule="auto"/>
      <w:outlineLvl w:val="2"/>
    </w:pPr>
    <w:rPr>
      <w:rFonts w:ascii="黑体"/>
      <w:bCs/>
      <w:kern w:val="0"/>
      <w:sz w:val="24"/>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spacing w:line="360" w:lineRule="auto"/>
      <w:ind w:firstLine="200" w:firstLineChars="200"/>
    </w:pPr>
    <w:rPr>
      <w:rFonts w:ascii="仿宋_GB2312" w:hAnsi="仿宋_GB2312"/>
      <w:sz w:val="24"/>
      <w:szCs w:val="30"/>
    </w:rPr>
  </w:style>
  <w:style w:type="paragraph" w:styleId="6">
    <w:name w:val="caption"/>
    <w:basedOn w:val="1"/>
    <w:next w:val="1"/>
    <w:link w:val="28"/>
    <w:unhideWhenUsed/>
    <w:qFormat/>
    <w:uiPriority w:val="0"/>
    <w:pPr>
      <w:numPr>
        <w:ilvl w:val="0"/>
        <w:numId w:val="1"/>
      </w:numPr>
      <w:spacing w:line="360" w:lineRule="auto"/>
      <w:ind w:left="0" w:firstLine="200" w:firstLineChars="200"/>
      <w:jc w:val="center"/>
    </w:pPr>
    <w:rPr>
      <w:rFonts w:ascii="Arial Unicode MS" w:hAnsi="Arial Unicode MS"/>
      <w:szCs w:val="20"/>
      <w:lang w:val="zh-CN"/>
    </w:rPr>
  </w:style>
  <w:style w:type="paragraph" w:styleId="7">
    <w:name w:val="Balloon Text"/>
    <w:basedOn w:val="1"/>
    <w:link w:val="26"/>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Theme="minorHAnsi" w:hAnsiTheme="minorHAnsi" w:cstheme="minorBidi"/>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标题 1 Char"/>
    <w:basedOn w:val="12"/>
    <w:link w:val="3"/>
    <w:qFormat/>
    <w:uiPriority w:val="0"/>
    <w:rPr>
      <w:rFonts w:ascii="Times New Roman" w:hAnsi="Times New Roman" w:eastAsia="宋体" w:cs="Times New Roman"/>
      <w:b/>
      <w:bCs/>
      <w:kern w:val="44"/>
      <w:sz w:val="44"/>
      <w:szCs w:val="44"/>
    </w:rPr>
  </w:style>
  <w:style w:type="character" w:customStyle="1" w:styleId="15">
    <w:name w:val="标题 2 Char"/>
    <w:basedOn w:val="12"/>
    <w:link w:val="4"/>
    <w:qFormat/>
    <w:uiPriority w:val="0"/>
    <w:rPr>
      <w:rFonts w:ascii="Arial" w:hAnsi="Arial" w:eastAsia="黑体" w:cs="Times New Roman"/>
      <w:b/>
      <w:bCs/>
      <w:sz w:val="32"/>
      <w:szCs w:val="32"/>
    </w:rPr>
  </w:style>
  <w:style w:type="character" w:customStyle="1" w:styleId="16">
    <w:name w:val="标题 3 Char"/>
    <w:basedOn w:val="12"/>
    <w:link w:val="5"/>
    <w:qFormat/>
    <w:uiPriority w:val="0"/>
    <w:rPr>
      <w:rFonts w:ascii="黑体" w:hAnsi="Times New Roman" w:eastAsia="宋体" w:cs="Times New Roman"/>
      <w:bCs/>
      <w:kern w:val="0"/>
      <w:sz w:val="24"/>
      <w:szCs w:val="20"/>
    </w:rPr>
  </w:style>
  <w:style w:type="character" w:customStyle="1" w:styleId="17">
    <w:name w:val="列出段落 Char1"/>
    <w:link w:val="18"/>
    <w:qFormat/>
    <w:locked/>
    <w:uiPriority w:val="34"/>
    <w:rPr>
      <w:rFonts w:ascii="Calibri" w:hAnsi="Calibri"/>
    </w:rPr>
  </w:style>
  <w:style w:type="paragraph" w:styleId="18">
    <w:name w:val="List Paragraph"/>
    <w:basedOn w:val="1"/>
    <w:link w:val="17"/>
    <w:qFormat/>
    <w:uiPriority w:val="34"/>
    <w:pPr>
      <w:ind w:firstLine="420" w:firstLineChars="200"/>
    </w:pPr>
    <w:rPr>
      <w:rFonts w:ascii="Calibri" w:hAnsi="Calibri" w:eastAsiaTheme="minorEastAsia" w:cstheme="minorBidi"/>
      <w:szCs w:val="22"/>
    </w:rPr>
  </w:style>
  <w:style w:type="character" w:customStyle="1" w:styleId="19">
    <w:name w:val="页脚 Char"/>
    <w:qFormat/>
    <w:uiPriority w:val="99"/>
    <w:rPr>
      <w:rFonts w:eastAsia="宋体"/>
      <w:sz w:val="18"/>
      <w:szCs w:val="18"/>
    </w:rPr>
  </w:style>
  <w:style w:type="character" w:customStyle="1" w:styleId="20">
    <w:name w:val="页眉 Char"/>
    <w:basedOn w:val="12"/>
    <w:link w:val="9"/>
    <w:qFormat/>
    <w:uiPriority w:val="0"/>
    <w:rPr>
      <w:rFonts w:ascii="Times New Roman" w:hAnsi="Times New Roman" w:eastAsia="宋体" w:cs="Times New Roman"/>
      <w:sz w:val="18"/>
      <w:szCs w:val="18"/>
    </w:rPr>
  </w:style>
  <w:style w:type="character" w:customStyle="1" w:styleId="21">
    <w:name w:val="页脚 Char1"/>
    <w:basedOn w:val="12"/>
    <w:link w:val="8"/>
    <w:semiHidden/>
    <w:qFormat/>
    <w:uiPriority w:val="99"/>
    <w:rPr>
      <w:rFonts w:ascii="Times New Roman" w:hAnsi="Times New Roman" w:eastAsia="宋体" w:cs="Times New Roman"/>
      <w:sz w:val="18"/>
      <w:szCs w:val="18"/>
    </w:rPr>
  </w:style>
  <w:style w:type="paragraph" w:customStyle="1" w:styleId="22">
    <w:name w:val="List Paragraph1"/>
    <w:basedOn w:val="1"/>
    <w:qFormat/>
    <w:uiPriority w:val="34"/>
    <w:pPr>
      <w:ind w:firstLine="420" w:firstLineChars="200"/>
    </w:pPr>
  </w:style>
  <w:style w:type="paragraph" w:customStyle="1" w:styleId="23">
    <w:name w:val="p17"/>
    <w:basedOn w:val="1"/>
    <w:qFormat/>
    <w:uiPriority w:val="0"/>
    <w:pPr>
      <w:widowControl/>
      <w:spacing w:line="360" w:lineRule="auto"/>
      <w:ind w:firstLine="420"/>
    </w:pPr>
    <w:rPr>
      <w:rFonts w:ascii="华文细黑" w:hAnsi="华文细黑" w:eastAsia="华文细黑" w:cs="宋体"/>
      <w:kern w:val="0"/>
      <w:sz w:val="20"/>
      <w:szCs w:val="20"/>
    </w:rPr>
  </w:style>
  <w:style w:type="paragraph" w:customStyle="1" w:styleId="24">
    <w:name w:val="文字"/>
    <w:basedOn w:val="1"/>
    <w:qFormat/>
    <w:uiPriority w:val="0"/>
    <w:pPr>
      <w:tabs>
        <w:tab w:val="left" w:pos="8520"/>
      </w:tabs>
      <w:spacing w:line="312" w:lineRule="auto"/>
      <w:ind w:right="-210" w:firstLine="556"/>
    </w:pPr>
    <w:rPr>
      <w:rFonts w:ascii="楷体_GB2312" w:eastAsia="楷体_GB2312"/>
      <w:sz w:val="28"/>
      <w:szCs w:val="20"/>
    </w:rPr>
  </w:style>
  <w:style w:type="paragraph" w:customStyle="1" w:styleId="25">
    <w:name w:val="p0"/>
    <w:basedOn w:val="1"/>
    <w:qFormat/>
    <w:uiPriority w:val="0"/>
    <w:pPr>
      <w:widowControl/>
      <w:spacing w:line="288" w:lineRule="auto"/>
    </w:pPr>
    <w:rPr>
      <w:rFonts w:ascii="Arial" w:hAnsi="Arial" w:cs="Arial"/>
      <w:kern w:val="0"/>
      <w:sz w:val="20"/>
      <w:szCs w:val="20"/>
    </w:rPr>
  </w:style>
  <w:style w:type="character" w:customStyle="1" w:styleId="26">
    <w:name w:val="批注框文本 Char"/>
    <w:basedOn w:val="12"/>
    <w:link w:val="7"/>
    <w:semiHidden/>
    <w:qFormat/>
    <w:uiPriority w:val="99"/>
    <w:rPr>
      <w:rFonts w:ascii="Times New Roman" w:hAnsi="Times New Roman" w:eastAsia="宋体" w:cs="Times New Roman"/>
      <w:sz w:val="18"/>
      <w:szCs w:val="18"/>
    </w:rPr>
  </w:style>
  <w:style w:type="paragraph" w:customStyle="1" w:styleId="27">
    <w:name w:val="样式 首行缩进:  0 字符"/>
    <w:basedOn w:val="1"/>
    <w:qFormat/>
    <w:uiPriority w:val="0"/>
    <w:pPr>
      <w:spacing w:line="360" w:lineRule="auto"/>
      <w:ind w:firstLine="200" w:firstLineChars="200"/>
    </w:pPr>
    <w:rPr>
      <w:rFonts w:cs="宋体"/>
      <w:sz w:val="24"/>
      <w:szCs w:val="20"/>
    </w:rPr>
  </w:style>
  <w:style w:type="character" w:customStyle="1" w:styleId="28">
    <w:name w:val="题注 Char"/>
    <w:link w:val="6"/>
    <w:qFormat/>
    <w:uiPriority w:val="0"/>
    <w:rPr>
      <w:rFonts w:ascii="Arial Unicode MS" w:hAnsi="Arial Unicode MS" w:eastAsia="宋体" w:cs="Times New Roman"/>
      <w:kern w:val="2"/>
      <w:sz w:val="21"/>
      <w:lang w:val="zh-CN" w:eastAsia="zh-CN"/>
    </w:rPr>
  </w:style>
  <w:style w:type="paragraph" w:customStyle="1" w:styleId="29">
    <w:name w:val="列出段落1"/>
    <w:basedOn w:val="1"/>
    <w:link w:val="30"/>
    <w:qFormat/>
    <w:uiPriority w:val="0"/>
    <w:pPr>
      <w:ind w:firstLine="420" w:firstLineChars="200"/>
    </w:pPr>
    <w:rPr>
      <w:szCs w:val="20"/>
    </w:rPr>
  </w:style>
  <w:style w:type="character" w:customStyle="1" w:styleId="30">
    <w:name w:val="列出段落 Char"/>
    <w:link w:val="29"/>
    <w:qFormat/>
    <w:uiPriority w:val="0"/>
    <w:rPr>
      <w:rFonts w:ascii="Times New Roman" w:hAnsi="Times New Roman" w:eastAsia="宋体" w:cs="Times New Roman"/>
      <w:kern w:val="2"/>
      <w:sz w:val="21"/>
    </w:rPr>
  </w:style>
  <w:style w:type="paragraph" w:customStyle="1" w:styleId="3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FB031A-FF96-4667-90F6-7DAEF1C72A2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1589</Words>
  <Characters>9058</Characters>
  <Lines>75</Lines>
  <Paragraphs>21</Paragraphs>
  <TotalTime>0</TotalTime>
  <ScaleCrop>false</ScaleCrop>
  <LinksUpToDate>false</LinksUpToDate>
  <CharactersWithSpaces>10626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2022-01-12T12:55:00Z</dcterms:created>
  <dc:creator>PC</dc:creator>
  <cp:lastModifiedBy>jdbwb</cp:lastModifiedBy>
  <dcterms:modified xsi:type="dcterms:W3CDTF">2022-01-18T05:45:52Z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2444B61973D94AB28CCF08A8A81F3FFF</vt:lpwstr>
  </property>
</Properties>
</file>