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4"/>
        </w:numPr>
        <w:spacing w:before="0" w:after="0" w:line="360" w:lineRule="auto"/>
        <w:jc w:val="center"/>
        <w:rPr>
          <w:rFonts w:asciiTheme="minorEastAsia" w:hAnsiTheme="minorEastAsia" w:eastAsiaTheme="minorEastAsia"/>
          <w:color w:val="000000"/>
          <w:sz w:val="28"/>
          <w:szCs w:val="28"/>
        </w:rPr>
      </w:pPr>
      <w:bookmarkStart w:id="0" w:name="_Toc19684"/>
      <w:r>
        <w:rPr>
          <w:rFonts w:hint="eastAsia" w:asciiTheme="minorEastAsia" w:hAnsiTheme="minorEastAsia" w:eastAsiaTheme="minorEastAsia"/>
          <w:color w:val="000000"/>
          <w:sz w:val="28"/>
          <w:szCs w:val="28"/>
        </w:rPr>
        <w:t>系统方案设计</w:t>
      </w:r>
      <w:bookmarkEnd w:id="0"/>
      <w:r>
        <w:rPr>
          <w:rFonts w:hint="eastAsia" w:asciiTheme="minorEastAsia" w:hAnsiTheme="minorEastAsia" w:eastAsiaTheme="minorEastAsia"/>
          <w:color w:val="000000"/>
          <w:sz w:val="28"/>
          <w:szCs w:val="28"/>
        </w:rPr>
        <w:t>要求</w:t>
      </w:r>
    </w:p>
    <w:p>
      <w:pPr>
        <w:pStyle w:val="4"/>
        <w:numPr>
          <w:ilvl w:val="1"/>
          <w:numId w:val="5"/>
        </w:numPr>
        <w:spacing w:before="0" w:after="0" w:line="360" w:lineRule="auto"/>
        <w:rPr>
          <w:rFonts w:asciiTheme="minorEastAsia" w:hAnsiTheme="minorEastAsia" w:eastAsiaTheme="minorEastAsia"/>
          <w:color w:val="000000"/>
          <w:sz w:val="28"/>
          <w:szCs w:val="28"/>
        </w:rPr>
      </w:pPr>
      <w:bookmarkStart w:id="1" w:name="_Toc17711"/>
      <w:r>
        <w:rPr>
          <w:rFonts w:hint="eastAsia" w:asciiTheme="minorEastAsia" w:hAnsiTheme="minorEastAsia" w:eastAsiaTheme="minorEastAsia"/>
          <w:color w:val="000000"/>
          <w:sz w:val="28"/>
          <w:szCs w:val="28"/>
        </w:rPr>
        <w:t>系统需求</w:t>
      </w:r>
      <w:bookmarkEnd w:id="1"/>
    </w:p>
    <w:p>
      <w:pPr>
        <w:spacing w:line="300" w:lineRule="auto"/>
        <w:ind w:firstLine="420" w:firstLineChars="150"/>
        <w:rPr>
          <w:rFonts w:asciiTheme="minorEastAsia" w:hAnsiTheme="minorEastAsia" w:eastAsiaTheme="minorEastAsia"/>
          <w:color w:val="000000"/>
          <w:sz w:val="28"/>
          <w:szCs w:val="28"/>
          <w:lang w:val="zh-CN"/>
        </w:rPr>
      </w:pPr>
      <w:r>
        <w:rPr>
          <w:rFonts w:hint="eastAsia" w:asciiTheme="minorEastAsia" w:hAnsiTheme="minorEastAsia" w:eastAsiaTheme="minorEastAsia"/>
          <w:color w:val="000000"/>
          <w:sz w:val="28"/>
          <w:szCs w:val="28"/>
          <w:lang w:val="zh-CN"/>
        </w:rPr>
        <w:t>崔庄煤矿现有地面和井下监控仍为老旧的模拟监控，画面模糊、清晰度差，且建年限较久存在着故障率高、掉线严重等问题，现有监控存储也为模拟存储设备，另外现有的监控中心的显示大屏老旧严重。崔庄煤矿现有的整个视频监控系统已经无法满足崔庄煤矿安全生产管理的需要，亟需对现有监控系统进行升级改造。</w:t>
      </w:r>
    </w:p>
    <w:p>
      <w:pPr>
        <w:spacing w:line="300" w:lineRule="auto"/>
        <w:ind w:firstLine="420" w:firstLineChars="150"/>
        <w:rPr>
          <w:rFonts w:asciiTheme="minorEastAsia" w:hAnsiTheme="minorEastAsia" w:eastAsiaTheme="minorEastAsia"/>
          <w:sz w:val="28"/>
          <w:szCs w:val="28"/>
        </w:rPr>
      </w:pPr>
      <w:r>
        <w:rPr>
          <w:rFonts w:hint="eastAsia" w:asciiTheme="minorEastAsia" w:hAnsiTheme="minorEastAsia" w:eastAsiaTheme="minorEastAsia"/>
          <w:color w:val="000000"/>
          <w:sz w:val="28"/>
          <w:szCs w:val="28"/>
          <w:lang w:val="zh-CN"/>
        </w:rPr>
        <w:t>视频监控子系统是整个安防建设的重点，负责</w:t>
      </w:r>
      <w:r>
        <w:rPr>
          <w:rFonts w:hint="eastAsia" w:asciiTheme="minorEastAsia" w:hAnsiTheme="minorEastAsia" w:eastAsiaTheme="minorEastAsia"/>
          <w:color w:val="000000"/>
          <w:sz w:val="28"/>
          <w:szCs w:val="28"/>
        </w:rPr>
        <w:t>矿区</w:t>
      </w:r>
      <w:r>
        <w:rPr>
          <w:rFonts w:hint="eastAsia" w:asciiTheme="minorEastAsia" w:hAnsiTheme="minorEastAsia" w:eastAsiaTheme="minorEastAsia"/>
          <w:color w:val="000000"/>
          <w:sz w:val="28"/>
          <w:szCs w:val="28"/>
          <w:lang w:val="zh-CN"/>
        </w:rPr>
        <w:t>内的视频安全监控，实现视频图像的预览、回放、存储、上墙，以及云台设备的云台控制等业务，提供安全监视、设备监控、案发后查、证据提取等有效的技术手段，为快速有效的指挥决策提供可视化支撑，</w:t>
      </w:r>
      <w:r>
        <w:rPr>
          <w:rFonts w:hint="eastAsia" w:asciiTheme="minorEastAsia" w:hAnsiTheme="minorEastAsia" w:eastAsiaTheme="minorEastAsia"/>
          <w:color w:val="000000"/>
          <w:sz w:val="28"/>
          <w:szCs w:val="28"/>
        </w:rPr>
        <w:t>使管理人员能远程实时掌握矿区内各重要区域发生的情况，保障监管区域内部人员及财产的安全。</w:t>
      </w:r>
    </w:p>
    <w:p>
      <w:pPr>
        <w:spacing w:line="300" w:lineRule="auto"/>
        <w:ind w:firstLine="482"/>
        <w:rPr>
          <w:rFonts w:asciiTheme="minorEastAsia" w:hAnsiTheme="minorEastAsia" w:eastAsiaTheme="minorEastAsia"/>
          <w:color w:val="000000"/>
          <w:sz w:val="28"/>
          <w:szCs w:val="28"/>
        </w:rPr>
      </w:pPr>
      <w:bookmarkStart w:id="2" w:name="_Toc11182"/>
      <w:r>
        <w:rPr>
          <w:rFonts w:hint="eastAsia" w:asciiTheme="minorEastAsia" w:hAnsiTheme="minorEastAsia" w:eastAsiaTheme="minorEastAsia"/>
          <w:color w:val="000000"/>
          <w:sz w:val="28"/>
          <w:szCs w:val="28"/>
        </w:rPr>
        <w:t>监控中心要求选择使用</w:t>
      </w:r>
      <w:r>
        <w:rPr>
          <w:rFonts w:asciiTheme="minorEastAsia" w:hAnsiTheme="minorEastAsia" w:eastAsiaTheme="minorEastAsia"/>
          <w:color w:val="000000"/>
          <w:sz w:val="28"/>
          <w:szCs w:val="28"/>
        </w:rPr>
        <w:t>46</w:t>
      </w:r>
      <w:r>
        <w:rPr>
          <w:rFonts w:hint="eastAsia" w:asciiTheme="minorEastAsia" w:hAnsiTheme="minorEastAsia" w:eastAsiaTheme="minorEastAsia"/>
          <w:color w:val="000000"/>
          <w:sz w:val="28"/>
          <w:szCs w:val="28"/>
        </w:rPr>
        <w:t>寸LCD液晶显示单元，可以根据需要任意拼接，采用背光源发光，物理分辩率可以轻易达到高清标准，液晶屏功耗小，发热量低，且运行稳定，维护成本低。LCD大屏单元组成的拼接墙具有低功耗、重量轻、寿命长、无辐射、安装方便快捷、占用空间较小等优点。采用</w:t>
      </w:r>
      <w:r>
        <w:rPr>
          <w:rFonts w:asciiTheme="minorEastAsia" w:hAnsiTheme="minorEastAsia" w:eastAsiaTheme="minorEastAsia"/>
          <w:color w:val="000000"/>
          <w:sz w:val="28"/>
          <w:szCs w:val="28"/>
        </w:rPr>
        <w:t>46</w:t>
      </w:r>
      <w:r>
        <w:rPr>
          <w:rFonts w:hint="eastAsia" w:asciiTheme="minorEastAsia" w:hAnsiTheme="minorEastAsia" w:eastAsiaTheme="minorEastAsia"/>
          <w:color w:val="000000"/>
          <w:sz w:val="28"/>
          <w:szCs w:val="28"/>
        </w:rPr>
        <w:t>英寸LCD拼接屏组成3（行）×</w:t>
      </w:r>
      <w:r>
        <w:rPr>
          <w:rFonts w:asciiTheme="minorEastAsia" w:hAnsiTheme="minorEastAsia" w:eastAsiaTheme="minorEastAsia"/>
          <w:color w:val="000000"/>
          <w:sz w:val="28"/>
          <w:szCs w:val="28"/>
        </w:rPr>
        <w:t>5</w:t>
      </w:r>
      <w:r>
        <w:rPr>
          <w:rFonts w:hint="eastAsia" w:asciiTheme="minorEastAsia" w:hAnsiTheme="minorEastAsia" w:eastAsiaTheme="minorEastAsia"/>
          <w:color w:val="000000"/>
          <w:sz w:val="28"/>
          <w:szCs w:val="28"/>
        </w:rPr>
        <w:t>（列）的拼接显示大屏作为显示幕墙，不仅可以显示前端设备采集的画面、GIS系统图形、报警信息，其他应用软件界面等，还能接入本地的VGA信号、</w:t>
      </w:r>
      <w:r>
        <w:rPr>
          <w:rFonts w:asciiTheme="minorEastAsia" w:hAnsiTheme="minorEastAsia" w:eastAsiaTheme="minorEastAsia"/>
          <w:color w:val="000000"/>
          <w:sz w:val="28"/>
          <w:szCs w:val="28"/>
        </w:rPr>
        <w:t>DVI</w:t>
      </w:r>
      <w:r>
        <w:rPr>
          <w:rFonts w:hint="eastAsia" w:asciiTheme="minorEastAsia" w:hAnsiTheme="minorEastAsia" w:eastAsiaTheme="minorEastAsia"/>
          <w:color w:val="000000"/>
          <w:sz w:val="28"/>
          <w:szCs w:val="28"/>
        </w:rPr>
        <w:t>信号以及有线电视信号，满足用户各种信号类型的接入需求。</w:t>
      </w:r>
    </w:p>
    <w:p>
      <w:pPr>
        <w:spacing w:line="300" w:lineRule="auto"/>
        <w:ind w:firstLine="482"/>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要求能够通过控制软件对需要上墙显示的信号进行显示，通过超高清解码器可实现信号的实时预览、视频拼接显示、任意分割、开窗漫游、图像叠加、图像拉伸缩放等一系列功能。</w:t>
      </w:r>
    </w:p>
    <w:p>
      <w:pPr>
        <w:spacing w:line="300" w:lineRule="auto"/>
        <w:ind w:firstLine="482"/>
        <w:rPr>
          <w:rFonts w:hint="default"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rPr>
        <w:t>综合管控要求能够实现对视频监控子系统、显示大屏、对相关系统产生的事件，进行整合，按照设置的规则进行联动，实现事件快速响应，并可通过弹窗等方式进行通知。本项目</w:t>
      </w:r>
      <w:r>
        <w:rPr>
          <w:rFonts w:hint="eastAsia" w:asciiTheme="minorEastAsia" w:hAnsiTheme="minorEastAsia" w:eastAsiaTheme="minorEastAsia"/>
          <w:color w:val="000000"/>
          <w:sz w:val="28"/>
          <w:szCs w:val="28"/>
          <w:lang w:val="en-US" w:eastAsia="zh-CN"/>
        </w:rPr>
        <w:t>机房内</w:t>
      </w:r>
      <w:r>
        <w:rPr>
          <w:rFonts w:hint="eastAsia" w:asciiTheme="minorEastAsia" w:hAnsiTheme="minorEastAsia" w:eastAsiaTheme="minorEastAsia"/>
          <w:color w:val="000000"/>
          <w:sz w:val="28"/>
          <w:szCs w:val="28"/>
        </w:rPr>
        <w:t>为交钥匙工程</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lang w:val="en-US" w:eastAsia="zh-CN"/>
        </w:rPr>
        <w:t>摄像头安装为指导安装。</w:t>
      </w:r>
    </w:p>
    <w:p>
      <w:pPr>
        <w:pStyle w:val="4"/>
        <w:numPr>
          <w:ilvl w:val="1"/>
          <w:numId w:val="5"/>
        </w:numPr>
        <w:spacing w:before="0" w:after="0" w:line="360" w:lineRule="auto"/>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整体设计原则</w:t>
      </w:r>
      <w:bookmarkEnd w:id="2"/>
      <w:r>
        <w:rPr>
          <w:rFonts w:hint="eastAsia" w:asciiTheme="minorEastAsia" w:hAnsiTheme="minorEastAsia" w:eastAsiaTheme="minorEastAsia"/>
          <w:color w:val="000000"/>
          <w:sz w:val="28"/>
          <w:szCs w:val="28"/>
        </w:rPr>
        <w:t>要求</w:t>
      </w:r>
    </w:p>
    <w:p>
      <w:pPr>
        <w:spacing w:line="300" w:lineRule="auto"/>
        <w:ind w:firstLine="482"/>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视频监控系统的设计思路如下：</w:t>
      </w:r>
    </w:p>
    <w:p>
      <w:pPr>
        <w:spacing w:line="300" w:lineRule="auto"/>
        <w:ind w:firstLine="482"/>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高清化。系统采用高清视频监控技术，实现视频图像信息的高清采集、高清编码、高清传输、高清存储、高清显示。</w:t>
      </w:r>
    </w:p>
    <w:p>
      <w:pPr>
        <w:spacing w:line="300" w:lineRule="auto"/>
        <w:ind w:firstLine="482"/>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网络化。系统基于IP网络传输技术，提供视频监控的联网功能，实现全网调度、管理及智能化应用。</w:t>
      </w:r>
    </w:p>
    <w:p>
      <w:pPr>
        <w:spacing w:line="300" w:lineRule="auto"/>
        <w:ind w:firstLine="482"/>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存储稳定性。采用具备流直存技术的专业存储设备对视频、图像进行存储，并采用多种技术手段提升存储系统的可靠性和可用性。 </w:t>
      </w:r>
    </w:p>
    <w:p>
      <w:pPr>
        <w:pStyle w:val="32"/>
        <w:spacing w:line="360" w:lineRule="auto"/>
        <w:ind w:firstLine="447"/>
        <w:rPr>
          <w:rFonts w:cs="Times New Roman" w:asciiTheme="minorEastAsia" w:hAnsiTheme="minorEastAsia" w:eastAsiaTheme="minorEastAsia"/>
          <w:color w:val="000000"/>
          <w:kern w:val="2"/>
          <w:sz w:val="28"/>
          <w:szCs w:val="28"/>
        </w:rPr>
      </w:pPr>
      <w:r>
        <w:rPr>
          <w:rFonts w:hint="eastAsia" w:cs="Times New Roman" w:asciiTheme="minorEastAsia" w:hAnsiTheme="minorEastAsia" w:eastAsiaTheme="minorEastAsia"/>
          <w:color w:val="000000"/>
          <w:kern w:val="2"/>
          <w:sz w:val="28"/>
          <w:szCs w:val="28"/>
        </w:rPr>
        <w:t>本方案LCD显示系统设计的基本指导思想和原则是：统筹规划，以需求为导向，以应用促建设，同时考虑高起点、高度集成、实用性与先进性相结合，具有安全性、易用性，前瞻性。</w:t>
      </w:r>
    </w:p>
    <w:p>
      <w:pPr>
        <w:pStyle w:val="4"/>
        <w:numPr>
          <w:ilvl w:val="1"/>
          <w:numId w:val="5"/>
        </w:numPr>
        <w:spacing w:before="0" w:after="0" w:line="360" w:lineRule="auto"/>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产品供应商要求</w:t>
      </w:r>
    </w:p>
    <w:p>
      <w:pPr>
        <w:spacing w:line="300" w:lineRule="auto"/>
        <w:ind w:firstLine="482"/>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1、显示屏原厂生产厂家具有完善的质量管理体系、创新体系、环境保护体系、售后服务体系、自主创新优势及良好企业社会责任。</w:t>
      </w:r>
    </w:p>
    <w:p>
      <w:pPr>
        <w:spacing w:line="300" w:lineRule="auto"/>
        <w:ind w:firstLine="482"/>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2、★投标产品制造商需提供产品及平台开发体系CMMI5证书。</w:t>
      </w:r>
    </w:p>
    <w:p>
      <w:pPr>
        <w:spacing w:line="300" w:lineRule="auto"/>
        <w:ind w:firstLine="482"/>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为保证系统安全性，保证相关单位具有专业的信息安全研发及较强的事件分析能力，投标人或投标人所投LCD产品制造商可提供中国信息安全测评中心办法的国家信息安全漏洞库（CNNVD）技术支撑单位登记证书。</w:t>
      </w:r>
    </w:p>
    <w:p>
      <w:pPr>
        <w:spacing w:line="300" w:lineRule="auto"/>
        <w:ind w:firstLine="482"/>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4、★为保证本项目产品及服务的稳定性与可靠性，所投LCD产品厂商具备ISO28000:2007供应链安全管理体系证书，提供相关证书复印件并加盖单位公章。</w:t>
      </w:r>
    </w:p>
    <w:p>
      <w:pPr>
        <w:spacing w:line="30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5、★需提供制造厂家授权及三年售后服务函</w:t>
      </w:r>
    </w:p>
    <w:p>
      <w:pPr>
        <w:pStyle w:val="2"/>
        <w:ind w:firstLine="560"/>
        <w:rPr>
          <w:rFonts w:asciiTheme="minorEastAsia" w:hAnsiTheme="minorEastAsia" w:eastAsiaTheme="minorEastAsia"/>
          <w:color w:val="000000"/>
          <w:sz w:val="28"/>
          <w:szCs w:val="28"/>
        </w:rPr>
      </w:pPr>
    </w:p>
    <w:p>
      <w:pPr>
        <w:pStyle w:val="4"/>
        <w:numPr>
          <w:ilvl w:val="1"/>
          <w:numId w:val="5"/>
        </w:numPr>
        <w:spacing w:before="0" w:after="0" w:line="360" w:lineRule="auto"/>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设计依据要求</w:t>
      </w:r>
    </w:p>
    <w:p>
      <w:pPr>
        <w:ind w:firstLine="480"/>
        <w:rPr>
          <w:rFonts w:asciiTheme="minorEastAsia" w:hAnsiTheme="minorEastAsia" w:eastAsiaTheme="minorEastAsia"/>
          <w:sz w:val="28"/>
          <w:szCs w:val="28"/>
        </w:rPr>
      </w:pPr>
      <w:r>
        <w:rPr>
          <w:rFonts w:hint="eastAsia" w:asciiTheme="minorEastAsia" w:hAnsiTheme="minorEastAsia" w:eastAsiaTheme="minorEastAsia"/>
          <w:sz w:val="28"/>
          <w:szCs w:val="28"/>
        </w:rPr>
        <w:t>本项目依据以下规范设计：</w:t>
      </w:r>
    </w:p>
    <w:p>
      <w:pPr>
        <w:pStyle w:val="39"/>
        <w:widowControl/>
        <w:numPr>
          <w:ilvl w:val="0"/>
          <w:numId w:val="6"/>
        </w:numPr>
        <w:rPr>
          <w:rFonts w:asciiTheme="minorEastAsia" w:hAnsiTheme="minorEastAsia" w:eastAsiaTheme="minorEastAsia"/>
          <w:sz w:val="28"/>
          <w:szCs w:val="28"/>
        </w:rPr>
      </w:pPr>
      <w:r>
        <w:rPr>
          <w:rFonts w:hint="eastAsia" w:cs="仿宋" w:asciiTheme="minorEastAsia" w:hAnsiTheme="minorEastAsia" w:eastAsiaTheme="minorEastAsia"/>
          <w:sz w:val="28"/>
          <w:szCs w:val="28"/>
        </w:rPr>
        <w:t>《煤矿安全规程》现行版</w:t>
      </w:r>
    </w:p>
    <w:p>
      <w:pPr>
        <w:pStyle w:val="39"/>
        <w:widowControl/>
        <w:rPr>
          <w:rFonts w:asciiTheme="minorEastAsia" w:hAnsiTheme="minorEastAsia" w:eastAsiaTheme="minorEastAsia"/>
          <w:sz w:val="28"/>
          <w:szCs w:val="28"/>
        </w:rPr>
      </w:pPr>
      <w:r>
        <w:rPr>
          <w:rFonts w:hint="eastAsia" w:cs="仿宋" w:asciiTheme="minorEastAsia" w:hAnsiTheme="minorEastAsia" w:eastAsiaTheme="minorEastAsia"/>
          <w:sz w:val="28"/>
          <w:szCs w:val="28"/>
        </w:rPr>
        <w:t>国家安全监管总局国家煤矿安监局关于《建设完善煤矿井下安全避险“六大系统”的通知》（安监总煤装〔修</w:t>
      </w:r>
      <w:r>
        <w:rPr>
          <w:rFonts w:asciiTheme="minorEastAsia" w:hAnsiTheme="minorEastAsia" w:eastAsiaTheme="minorEastAsia"/>
          <w:sz w:val="28"/>
          <w:szCs w:val="28"/>
        </w:rPr>
        <w:t>2010</w:t>
      </w:r>
      <w:r>
        <w:rPr>
          <w:rFonts w:hint="eastAsia" w:cs="仿宋" w:asciiTheme="minorEastAsia" w:hAnsiTheme="minorEastAsia" w:eastAsiaTheme="minorEastAsia"/>
          <w:sz w:val="28"/>
          <w:szCs w:val="28"/>
        </w:rPr>
        <w:t>〕</w:t>
      </w:r>
      <w:r>
        <w:rPr>
          <w:rFonts w:asciiTheme="minorEastAsia" w:hAnsiTheme="minorEastAsia" w:eastAsiaTheme="minorEastAsia"/>
          <w:sz w:val="28"/>
          <w:szCs w:val="28"/>
        </w:rPr>
        <w:t>146</w:t>
      </w:r>
      <w:r>
        <w:rPr>
          <w:rFonts w:hint="eastAsia" w:cs="仿宋" w:asciiTheme="minorEastAsia" w:hAnsiTheme="minorEastAsia" w:eastAsiaTheme="minorEastAsia"/>
          <w:sz w:val="28"/>
          <w:szCs w:val="28"/>
        </w:rPr>
        <w:t>号）；</w:t>
      </w:r>
    </w:p>
    <w:p>
      <w:pPr>
        <w:pStyle w:val="39"/>
        <w:widowControl/>
        <w:rPr>
          <w:rFonts w:asciiTheme="minorEastAsia" w:hAnsiTheme="minorEastAsia" w:eastAsiaTheme="minorEastAsia"/>
          <w:sz w:val="28"/>
          <w:szCs w:val="28"/>
        </w:rPr>
      </w:pPr>
      <w:r>
        <w:rPr>
          <w:rFonts w:asciiTheme="minorEastAsia" w:hAnsiTheme="minorEastAsia" w:eastAsiaTheme="minorEastAsia"/>
          <w:sz w:val="28"/>
          <w:szCs w:val="28"/>
        </w:rPr>
        <w:t xml:space="preserve">GB 3836.1-2010 </w:t>
      </w:r>
      <w:r>
        <w:rPr>
          <w:rFonts w:hint="eastAsia" w:cs="仿宋" w:asciiTheme="minorEastAsia" w:hAnsiTheme="minorEastAsia" w:eastAsiaTheme="minorEastAsia"/>
          <w:sz w:val="28"/>
          <w:szCs w:val="28"/>
        </w:rPr>
        <w:t>爆炸性环境第</w:t>
      </w:r>
      <w:r>
        <w:rPr>
          <w:rFonts w:asciiTheme="minorEastAsia" w:hAnsiTheme="minorEastAsia" w:eastAsiaTheme="minorEastAsia"/>
          <w:sz w:val="28"/>
          <w:szCs w:val="28"/>
        </w:rPr>
        <w:t>1</w:t>
      </w:r>
      <w:r>
        <w:rPr>
          <w:rFonts w:hint="eastAsia" w:cs="仿宋" w:asciiTheme="minorEastAsia" w:hAnsiTheme="minorEastAsia" w:eastAsiaTheme="minorEastAsia"/>
          <w:sz w:val="28"/>
          <w:szCs w:val="28"/>
        </w:rPr>
        <w:t>部分：设备通用要求</w:t>
      </w:r>
    </w:p>
    <w:p>
      <w:pPr>
        <w:pStyle w:val="39"/>
        <w:widowControl/>
        <w:rPr>
          <w:rFonts w:asciiTheme="minorEastAsia" w:hAnsiTheme="minorEastAsia" w:eastAsiaTheme="minorEastAsia"/>
          <w:sz w:val="28"/>
          <w:szCs w:val="28"/>
        </w:rPr>
      </w:pPr>
      <w:r>
        <w:rPr>
          <w:rFonts w:asciiTheme="minorEastAsia" w:hAnsiTheme="minorEastAsia" w:eastAsiaTheme="minorEastAsia"/>
          <w:sz w:val="28"/>
          <w:szCs w:val="28"/>
        </w:rPr>
        <w:t xml:space="preserve">GB 3836.4-2010 </w:t>
      </w:r>
      <w:r>
        <w:rPr>
          <w:rFonts w:hint="eastAsia" w:cs="仿宋" w:asciiTheme="minorEastAsia" w:hAnsiTheme="minorEastAsia" w:eastAsiaTheme="minorEastAsia"/>
          <w:sz w:val="28"/>
          <w:szCs w:val="28"/>
        </w:rPr>
        <w:t>爆炸性环境第</w:t>
      </w:r>
      <w:r>
        <w:rPr>
          <w:rFonts w:asciiTheme="minorEastAsia" w:hAnsiTheme="minorEastAsia" w:eastAsiaTheme="minorEastAsia"/>
          <w:sz w:val="28"/>
          <w:szCs w:val="28"/>
        </w:rPr>
        <w:t>4</w:t>
      </w:r>
      <w:r>
        <w:rPr>
          <w:rFonts w:hint="eastAsia" w:cs="仿宋" w:asciiTheme="minorEastAsia" w:hAnsiTheme="minorEastAsia" w:eastAsiaTheme="minorEastAsia"/>
          <w:sz w:val="28"/>
          <w:szCs w:val="28"/>
        </w:rPr>
        <w:t>部分：由本质安全型“</w:t>
      </w:r>
      <w:r>
        <w:rPr>
          <w:rFonts w:asciiTheme="minorEastAsia" w:hAnsiTheme="minorEastAsia" w:eastAsiaTheme="minorEastAsia"/>
          <w:sz w:val="28"/>
          <w:szCs w:val="28"/>
        </w:rPr>
        <w:t>i</w:t>
      </w:r>
      <w:r>
        <w:rPr>
          <w:rFonts w:hint="eastAsia" w:cs="仿宋" w:asciiTheme="minorEastAsia" w:hAnsiTheme="minorEastAsia" w:eastAsiaTheme="minorEastAsia"/>
          <w:sz w:val="28"/>
          <w:szCs w:val="28"/>
        </w:rPr>
        <w:t>”保护的设备</w:t>
      </w:r>
    </w:p>
    <w:p>
      <w:pPr>
        <w:pStyle w:val="39"/>
        <w:widowControl/>
        <w:rPr>
          <w:rFonts w:asciiTheme="minorEastAsia" w:hAnsiTheme="minorEastAsia" w:eastAsiaTheme="minorEastAsia"/>
          <w:sz w:val="28"/>
          <w:szCs w:val="28"/>
        </w:rPr>
      </w:pPr>
      <w:r>
        <w:rPr>
          <w:rFonts w:asciiTheme="minorEastAsia" w:hAnsiTheme="minorEastAsia" w:eastAsiaTheme="minorEastAsia"/>
          <w:sz w:val="28"/>
          <w:szCs w:val="28"/>
        </w:rPr>
        <w:t>GA/T 1127-2013</w:t>
      </w:r>
      <w:r>
        <w:rPr>
          <w:rFonts w:hint="eastAsia" w:cs="仿宋" w:asciiTheme="minorEastAsia" w:hAnsiTheme="minorEastAsia" w:eastAsiaTheme="minorEastAsia"/>
          <w:sz w:val="28"/>
          <w:szCs w:val="28"/>
        </w:rPr>
        <w:t>《安全防范视频监控摄像机通用技术要求》</w:t>
      </w:r>
    </w:p>
    <w:p>
      <w:pPr>
        <w:pStyle w:val="39"/>
        <w:widowControl/>
        <w:rPr>
          <w:rFonts w:asciiTheme="minorEastAsia" w:hAnsiTheme="minorEastAsia" w:eastAsiaTheme="minorEastAsia"/>
          <w:sz w:val="28"/>
          <w:szCs w:val="28"/>
        </w:rPr>
      </w:pPr>
      <w:r>
        <w:rPr>
          <w:rFonts w:asciiTheme="minorEastAsia" w:hAnsiTheme="minorEastAsia" w:eastAsiaTheme="minorEastAsia"/>
          <w:sz w:val="28"/>
          <w:szCs w:val="28"/>
        </w:rPr>
        <w:t>GA/T 367-2001</w:t>
      </w:r>
      <w:r>
        <w:rPr>
          <w:rFonts w:hint="eastAsia" w:cs="仿宋" w:asciiTheme="minorEastAsia" w:hAnsiTheme="minorEastAsia" w:eastAsiaTheme="minorEastAsia"/>
          <w:sz w:val="28"/>
          <w:szCs w:val="28"/>
        </w:rPr>
        <w:t>《视频安防监控系统技术要求》</w:t>
      </w:r>
    </w:p>
    <w:p>
      <w:pPr>
        <w:pStyle w:val="39"/>
        <w:widowControl/>
        <w:rPr>
          <w:rFonts w:asciiTheme="minorEastAsia" w:hAnsiTheme="minorEastAsia" w:eastAsiaTheme="minorEastAsia"/>
          <w:sz w:val="28"/>
          <w:szCs w:val="28"/>
        </w:rPr>
      </w:pPr>
      <w:r>
        <w:rPr>
          <w:rFonts w:asciiTheme="minorEastAsia" w:hAnsiTheme="minorEastAsia" w:eastAsiaTheme="minorEastAsia"/>
          <w:sz w:val="28"/>
          <w:szCs w:val="28"/>
        </w:rPr>
        <w:t>GB/T 17963-2000</w:t>
      </w:r>
      <w:r>
        <w:rPr>
          <w:rFonts w:hint="eastAsia" w:cs="仿宋" w:asciiTheme="minorEastAsia" w:hAnsiTheme="minorEastAsia" w:eastAsiaTheme="minorEastAsia"/>
          <w:sz w:val="28"/>
          <w:szCs w:val="28"/>
        </w:rPr>
        <w:t>《信息技术开放系统互连网络层安全协议》</w:t>
      </w:r>
    </w:p>
    <w:p>
      <w:pPr>
        <w:pStyle w:val="39"/>
        <w:widowControl/>
        <w:rPr>
          <w:rFonts w:asciiTheme="minorEastAsia" w:hAnsiTheme="minorEastAsia" w:eastAsiaTheme="minorEastAsia"/>
          <w:sz w:val="28"/>
          <w:szCs w:val="28"/>
        </w:rPr>
      </w:pPr>
      <w:r>
        <w:rPr>
          <w:rFonts w:asciiTheme="minorEastAsia" w:hAnsiTheme="minorEastAsia" w:eastAsiaTheme="minorEastAsia"/>
          <w:sz w:val="28"/>
          <w:szCs w:val="28"/>
        </w:rPr>
        <w:t>GA/T75-1994</w:t>
      </w:r>
      <w:r>
        <w:rPr>
          <w:rFonts w:hint="eastAsia" w:cs="仿宋" w:asciiTheme="minorEastAsia" w:hAnsiTheme="minorEastAsia" w:eastAsiaTheme="minorEastAsia"/>
          <w:sz w:val="28"/>
          <w:szCs w:val="28"/>
        </w:rPr>
        <w:t>《安全防范工程程序与要求》</w:t>
      </w:r>
    </w:p>
    <w:p>
      <w:pPr>
        <w:pStyle w:val="39"/>
        <w:widowControl/>
        <w:rPr>
          <w:rFonts w:asciiTheme="minorEastAsia" w:hAnsiTheme="minorEastAsia" w:eastAsiaTheme="minorEastAsia"/>
          <w:sz w:val="28"/>
          <w:szCs w:val="28"/>
        </w:rPr>
      </w:pPr>
      <w:r>
        <w:rPr>
          <w:rFonts w:asciiTheme="minorEastAsia" w:hAnsiTheme="minorEastAsia" w:eastAsiaTheme="minorEastAsia"/>
          <w:sz w:val="28"/>
          <w:szCs w:val="28"/>
        </w:rPr>
        <w:t>GB50348-2018</w:t>
      </w:r>
      <w:r>
        <w:rPr>
          <w:rFonts w:hint="eastAsia" w:cs="仿宋" w:asciiTheme="minorEastAsia" w:hAnsiTheme="minorEastAsia" w:eastAsiaTheme="minorEastAsia"/>
          <w:sz w:val="28"/>
          <w:szCs w:val="28"/>
        </w:rPr>
        <w:t>《安全防范工程技术规范》</w:t>
      </w:r>
    </w:p>
    <w:p>
      <w:pPr>
        <w:pStyle w:val="39"/>
        <w:widowControl/>
        <w:rPr>
          <w:rFonts w:asciiTheme="minorEastAsia" w:hAnsiTheme="minorEastAsia" w:eastAsiaTheme="minorEastAsia"/>
          <w:sz w:val="28"/>
          <w:szCs w:val="28"/>
        </w:rPr>
      </w:pPr>
      <w:r>
        <w:rPr>
          <w:rFonts w:asciiTheme="minorEastAsia" w:hAnsiTheme="minorEastAsia" w:eastAsiaTheme="minorEastAsia"/>
          <w:sz w:val="28"/>
          <w:szCs w:val="28"/>
        </w:rPr>
        <w:t>GB/T50312-2016</w:t>
      </w:r>
      <w:r>
        <w:rPr>
          <w:rFonts w:hint="eastAsia" w:cs="仿宋" w:asciiTheme="minorEastAsia" w:hAnsiTheme="minorEastAsia" w:eastAsiaTheme="minorEastAsia"/>
          <w:sz w:val="28"/>
          <w:szCs w:val="28"/>
        </w:rPr>
        <w:t>《综合布线系统工程施工及验收规范》</w:t>
      </w:r>
    </w:p>
    <w:p>
      <w:pPr>
        <w:pStyle w:val="3"/>
        <w:numPr>
          <w:ilvl w:val="0"/>
          <w:numId w:val="4"/>
        </w:numPr>
        <w:spacing w:before="0" w:after="0" w:line="360" w:lineRule="auto"/>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整体方案设计要求</w:t>
      </w:r>
    </w:p>
    <w:p>
      <w:pPr>
        <w:pStyle w:val="4"/>
        <w:spacing w:before="0" w:after="0" w:line="360" w:lineRule="auto"/>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w:t>
      </w:r>
      <w:r>
        <w:rPr>
          <w:rFonts w:asciiTheme="minorEastAsia" w:hAnsiTheme="minorEastAsia" w:eastAsiaTheme="minorEastAsia"/>
          <w:color w:val="000000"/>
          <w:sz w:val="28"/>
          <w:szCs w:val="28"/>
        </w:rPr>
        <w:t>1</w:t>
      </w:r>
      <w:r>
        <w:rPr>
          <w:rFonts w:hint="eastAsia" w:asciiTheme="minorEastAsia" w:hAnsiTheme="minorEastAsia" w:eastAsiaTheme="minorEastAsia"/>
          <w:color w:val="000000"/>
          <w:sz w:val="28"/>
          <w:szCs w:val="28"/>
        </w:rPr>
        <w:t>系统整体架构要求</w:t>
      </w:r>
    </w:p>
    <w:p>
      <w:pPr>
        <w:spacing w:line="300" w:lineRule="auto"/>
        <w:ind w:firstLine="482"/>
        <w:rPr>
          <w:rFonts w:asciiTheme="minorEastAsia" w:hAnsiTheme="minorEastAsia" w:eastAsiaTheme="minorEastAsia"/>
          <w:sz w:val="28"/>
          <w:szCs w:val="28"/>
          <w:lang w:val="zh-CN"/>
        </w:rPr>
      </w:pPr>
      <w:r>
        <w:rPr>
          <w:rFonts w:hint="eastAsia" w:asciiTheme="minorEastAsia" w:hAnsiTheme="minorEastAsia" w:eastAsiaTheme="minorEastAsia"/>
          <w:sz w:val="28"/>
          <w:szCs w:val="28"/>
          <w:lang w:val="zh-CN"/>
        </w:rPr>
        <w:t>视频监控系统主要由前端摄像机设备、视频显示设备、视频存储设备、相关应用软件以及其它传输、辅助类设备组成。系统具有可扩展和开放性，以方便未来的扩展和与其他系统的集成。</w:t>
      </w:r>
    </w:p>
    <w:p>
      <w:pPr>
        <w:spacing w:line="300" w:lineRule="auto"/>
        <w:ind w:firstLine="482"/>
        <w:rPr>
          <w:rFonts w:asciiTheme="minorEastAsia" w:hAnsiTheme="minorEastAsia" w:eastAsiaTheme="minorEastAsia"/>
          <w:sz w:val="28"/>
          <w:szCs w:val="28"/>
          <w:lang w:val="zh-CN"/>
        </w:rPr>
      </w:pPr>
      <w:r>
        <w:rPr>
          <w:rFonts w:hint="eastAsia" w:asciiTheme="minorEastAsia" w:hAnsiTheme="minorEastAsia" w:eastAsiaTheme="minorEastAsia"/>
          <w:sz w:val="28"/>
          <w:szCs w:val="28"/>
        </w:rPr>
        <w:t>系统</w:t>
      </w:r>
      <w:r>
        <w:rPr>
          <w:rFonts w:hint="eastAsia" w:asciiTheme="minorEastAsia" w:hAnsiTheme="minorEastAsia" w:eastAsiaTheme="minorEastAsia"/>
          <w:sz w:val="28"/>
          <w:szCs w:val="28"/>
          <w:lang w:val="zh-CN"/>
        </w:rPr>
        <w:t>架构如下：</w:t>
      </w:r>
    </w:p>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drawing>
          <wp:inline distT="0" distB="0" distL="114300" distR="114300">
            <wp:extent cx="4225290" cy="3060700"/>
            <wp:effectExtent l="0" t="0" r="11430" b="2540"/>
            <wp:docPr id="3" name="图片 3" descr="75437b30b7b3b7c2270c7652674cc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5437b30b7b3b7c2270c7652674ccee"/>
                    <pic:cNvPicPr>
                      <a:picLocks noChangeAspect="1"/>
                    </pic:cNvPicPr>
                  </pic:nvPicPr>
                  <pic:blipFill>
                    <a:blip r:embed="rId5"/>
                    <a:stretch>
                      <a:fillRect/>
                    </a:stretch>
                  </pic:blipFill>
                  <pic:spPr>
                    <a:xfrm>
                      <a:off x="0" y="0"/>
                      <a:ext cx="4225290" cy="3060700"/>
                    </a:xfrm>
                    <a:prstGeom prst="rect">
                      <a:avLst/>
                    </a:prstGeom>
                  </pic:spPr>
                </pic:pic>
              </a:graphicData>
            </a:graphic>
          </wp:inline>
        </w:drawing>
      </w:r>
    </w:p>
    <w:p>
      <w:pPr>
        <w:pStyle w:val="12"/>
        <w:numPr>
          <w:ilvl w:val="0"/>
          <w:numId w:val="0"/>
        </w:numPr>
        <w:ind w:left="420"/>
        <w:rPr>
          <w:rFonts w:asciiTheme="minorEastAsia" w:hAnsiTheme="minorEastAsia" w:eastAsiaTheme="minorEastAsia"/>
          <w:sz w:val="28"/>
          <w:szCs w:val="28"/>
        </w:rPr>
      </w:pPr>
      <w:bookmarkStart w:id="3" w:name="_Toc525745990"/>
      <w:bookmarkStart w:id="4" w:name="_Toc63760446"/>
      <w:r>
        <w:rPr>
          <w:rFonts w:hint="eastAsia" w:asciiTheme="minorEastAsia" w:hAnsiTheme="minorEastAsia" w:eastAsiaTheme="minorEastAsia"/>
          <w:sz w:val="28"/>
          <w:szCs w:val="28"/>
        </w:rPr>
        <w:t>视频监控系统架构示意图</w:t>
      </w:r>
      <w:bookmarkEnd w:id="3"/>
      <w:bookmarkEnd w:id="4"/>
    </w:p>
    <w:p>
      <w:pPr>
        <w:pStyle w:val="25"/>
        <w:numPr>
          <w:ilvl w:val="0"/>
          <w:numId w:val="7"/>
        </w:numPr>
        <w:spacing w:line="300" w:lineRule="auto"/>
        <w:ind w:firstLineChars="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前端部分</w:t>
      </w:r>
    </w:p>
    <w:p>
      <w:pPr>
        <w:spacing w:line="300" w:lineRule="auto"/>
        <w:ind w:firstLine="48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前端支持多种类型的摄像机接入。系统可配置高清网络枪机、球机等，按照标准的音视频编码格式及标准的通信协议，直接接入网络并进行视频图像的传输。</w:t>
      </w:r>
    </w:p>
    <w:p>
      <w:pPr>
        <w:pStyle w:val="25"/>
        <w:numPr>
          <w:ilvl w:val="0"/>
          <w:numId w:val="7"/>
        </w:numPr>
        <w:spacing w:line="300" w:lineRule="auto"/>
        <w:ind w:firstLineChars="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传输网络部分</w:t>
      </w:r>
    </w:p>
    <w:p>
      <w:pPr>
        <w:spacing w:line="300" w:lineRule="auto"/>
        <w:ind w:firstLine="48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前端与接入交换机之间可通过有线网络或无线网络接入。有线网络中主要包括3种方式连接：光纤收发器的点对点光纤接入方式，直接接入交换机方式（距离100米以内），点对多点光纤PON接入方式，均可将前端信号汇聚至中心的核心交换机。</w:t>
      </w:r>
    </w:p>
    <w:p>
      <w:pPr>
        <w:pStyle w:val="25"/>
        <w:numPr>
          <w:ilvl w:val="0"/>
          <w:numId w:val="7"/>
        </w:numPr>
        <w:spacing w:line="300" w:lineRule="auto"/>
        <w:ind w:firstLineChars="0"/>
        <w:rPr>
          <w:rFonts w:cs="Times New Roman" w:asciiTheme="minorEastAsia" w:hAnsiTheme="minorEastAsia"/>
          <w:color w:val="000000"/>
          <w:sz w:val="28"/>
          <w:szCs w:val="28"/>
        </w:rPr>
      </w:pPr>
      <w:r>
        <w:rPr>
          <w:rFonts w:hint="eastAsia" w:cs="Times New Roman" w:asciiTheme="minorEastAsia" w:hAnsiTheme="minorEastAsia"/>
          <w:color w:val="000000"/>
          <w:sz w:val="28"/>
          <w:szCs w:val="28"/>
        </w:rPr>
        <w:t>监控中心部分</w:t>
      </w:r>
    </w:p>
    <w:p>
      <w:pPr>
        <w:spacing w:line="300" w:lineRule="auto"/>
        <w:ind w:firstLine="48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监控中心的设计主要包括视频存储、视频显示及实现统一管理的平台软件。</w:t>
      </w:r>
    </w:p>
    <w:p>
      <w:pPr>
        <w:spacing w:line="300" w:lineRule="auto"/>
        <w:ind w:firstLine="48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中心机房主要部署视频存储、中心管理服务器（安装平台软件）以及核心交换机，控制中心部署解码拼控设备、显示大屏以及用户终端。</w:t>
      </w:r>
    </w:p>
    <w:p>
      <w:pPr>
        <w:spacing w:line="300" w:lineRule="auto"/>
        <w:ind w:firstLine="48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监控中心采用超高清完成视频的解码、拼接，上墙等应用，通过部署LCD大屏用来将视频进行上墙显示。</w:t>
      </w:r>
    </w:p>
    <w:p>
      <w:pPr>
        <w:spacing w:line="300" w:lineRule="auto"/>
        <w:ind w:firstLine="48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中心平台采用综合安防管理平台对视频监控设备和用户进行统一管理，实现视频的预览、回放、权限控制以及各类智能应用。</w:t>
      </w:r>
    </w:p>
    <w:p>
      <w:pPr>
        <w:jc w:val="center"/>
        <w:rPr>
          <w:rFonts w:asciiTheme="minorEastAsia" w:hAnsiTheme="minorEastAsia" w:eastAsiaTheme="minorEastAsia"/>
          <w:sz w:val="28"/>
          <w:szCs w:val="28"/>
        </w:rPr>
      </w:pPr>
      <w:r>
        <w:rPr>
          <w:rFonts w:asciiTheme="minorEastAsia" w:hAnsiTheme="minorEastAsia" w:eastAsiaTheme="minorEastAsia"/>
          <w:sz w:val="28"/>
          <w:szCs w:val="28"/>
        </w:rPr>
        <w:drawing>
          <wp:inline distT="0" distB="0" distL="0" distR="0">
            <wp:extent cx="5274310" cy="4316730"/>
            <wp:effectExtent l="0" t="0" r="13970" b="11430"/>
            <wp:docPr id="2" name="图片 2" descr="G:\13参与项目\能源\2021年\崔庄煤矿大屏项目-张军\现场照片\LCD46#3X5(模块化+LED条屏)-崔庄煤矿大屏-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G:\13参与项目\能源\2021年\崔庄煤矿大屏项目-张军\现场照片\LCD46#3X5(模块化+LED条屏)-崔庄煤矿大屏-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74310" cy="4317316"/>
                    </a:xfrm>
                    <a:prstGeom prst="rect">
                      <a:avLst/>
                    </a:prstGeom>
                    <a:noFill/>
                    <a:ln>
                      <a:noFill/>
                    </a:ln>
                  </pic:spPr>
                </pic:pic>
              </a:graphicData>
            </a:graphic>
          </wp:inline>
        </w:drawing>
      </w:r>
    </w:p>
    <w:p>
      <w:pPr>
        <w:pStyle w:val="12"/>
        <w:numPr>
          <w:ilvl w:val="0"/>
          <w:numId w:val="0"/>
        </w:numPr>
        <w:ind w:left="420"/>
        <w:rPr>
          <w:rFonts w:asciiTheme="minorEastAsia" w:hAnsiTheme="minorEastAsia" w:eastAsiaTheme="minorEastAsia"/>
          <w:sz w:val="28"/>
          <w:szCs w:val="28"/>
        </w:rPr>
      </w:pPr>
      <w:r>
        <w:rPr>
          <w:rFonts w:hint="eastAsia" w:asciiTheme="minorEastAsia" w:hAnsiTheme="minorEastAsia" w:eastAsiaTheme="minorEastAsia"/>
          <w:sz w:val="28"/>
          <w:szCs w:val="28"/>
        </w:rPr>
        <w:t>L</w:t>
      </w:r>
      <w:r>
        <w:rPr>
          <w:rFonts w:hint="eastAsia" w:asciiTheme="minorEastAsia" w:hAnsiTheme="minorEastAsia" w:eastAsiaTheme="minorEastAsia"/>
          <w:sz w:val="28"/>
          <w:szCs w:val="28"/>
          <w:lang w:val="en-US"/>
        </w:rPr>
        <w:t>CD</w:t>
      </w:r>
      <w:r>
        <w:rPr>
          <w:rFonts w:hint="eastAsia" w:asciiTheme="minorEastAsia" w:hAnsiTheme="minorEastAsia" w:eastAsiaTheme="minorEastAsia"/>
          <w:sz w:val="28"/>
          <w:szCs w:val="28"/>
        </w:rPr>
        <w:t>显示屏效果图</w:t>
      </w:r>
    </w:p>
    <w:p>
      <w:pPr>
        <w:rPr>
          <w:rFonts w:asciiTheme="minorEastAsia" w:hAnsiTheme="minorEastAsia" w:eastAsiaTheme="minorEastAsia"/>
          <w:sz w:val="28"/>
          <w:szCs w:val="28"/>
          <w:lang w:val="zh-CN"/>
        </w:rPr>
      </w:pPr>
    </w:p>
    <w:p>
      <w:pPr>
        <w:pStyle w:val="4"/>
        <w:numPr>
          <w:ilvl w:val="1"/>
          <w:numId w:val="8"/>
        </w:numPr>
        <w:spacing w:before="120" w:after="120" w:line="360" w:lineRule="auto"/>
        <w:rPr>
          <w:rFonts w:ascii="宋体" w:hAnsi="宋体" w:eastAsia="宋体"/>
          <w:color w:val="000000"/>
          <w:sz w:val="28"/>
          <w:szCs w:val="28"/>
        </w:rPr>
      </w:pPr>
      <w:bookmarkStart w:id="5" w:name="_Toc523479275"/>
      <w:bookmarkStart w:id="6" w:name="_Toc53766261"/>
      <w:r>
        <w:rPr>
          <w:rFonts w:hint="eastAsia" w:ascii="宋体" w:hAnsi="宋体" w:eastAsia="宋体"/>
          <w:color w:val="000000"/>
          <w:sz w:val="28"/>
          <w:szCs w:val="28"/>
        </w:rPr>
        <w:t>综合管理平台要求</w:t>
      </w:r>
    </w:p>
    <w:p>
      <w:pPr>
        <w:spacing w:line="300" w:lineRule="auto"/>
        <w:ind w:firstLine="48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管理功能要求</w:t>
      </w:r>
    </w:p>
    <w:p>
      <w:pPr>
        <w:spacing w:line="300" w:lineRule="auto"/>
        <w:ind w:firstLine="48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 要求通用场景化应用配置</w:t>
      </w:r>
    </w:p>
    <w:p>
      <w:pPr>
        <w:spacing w:line="300" w:lineRule="auto"/>
        <w:ind w:firstLine="48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 要求支持对用户、角色、组织、区域、人员、车辆、卡片、设备等基础资源进行管理调配</w:t>
      </w:r>
    </w:p>
    <w:p>
      <w:pPr>
        <w:spacing w:line="300" w:lineRule="auto"/>
        <w:ind w:firstLine="48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 要求最大支持用户10000个，最大支持并发登陆500个用户</w:t>
      </w:r>
    </w:p>
    <w:p>
      <w:pPr>
        <w:spacing w:line="300" w:lineRule="auto"/>
        <w:ind w:firstLine="48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 要求支持用户权限管理</w:t>
      </w:r>
    </w:p>
    <w:p>
      <w:pPr>
        <w:spacing w:line="300" w:lineRule="auto"/>
        <w:ind w:firstLine="48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5. 要求支持用户密码有效时间段进行设置管理，支持用户IP绑定，指定IP地址用户才能登陆平台</w:t>
      </w:r>
    </w:p>
    <w:p>
      <w:pPr>
        <w:spacing w:line="300" w:lineRule="auto"/>
        <w:ind w:firstLine="48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6. 系统要求根据项目规模和应用场景，采用分布式、负载均衡等技术，支持多级架构来进行系统平台自身规模的扩展，支持流媒体集群等；</w:t>
      </w:r>
    </w:p>
    <w:p>
      <w:pPr>
        <w:spacing w:line="300" w:lineRule="auto"/>
        <w:ind w:firstLine="48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7. 系统要求支持软授权方式，可以部署在服务器或虚拟机上；</w:t>
      </w:r>
    </w:p>
    <w:p>
      <w:pPr>
        <w:spacing w:line="300" w:lineRule="auto"/>
        <w:ind w:firstLine="48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8. 系统要求支持BS、CS客户端以及IOS、Android移动端应用；</w:t>
      </w:r>
    </w:p>
    <w:p>
      <w:pPr>
        <w:spacing w:line="300" w:lineRule="auto"/>
        <w:ind w:firstLine="48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9. 系统要求支持校时功能，支持对设备和平台服务校时，保证时间一致；</w:t>
      </w:r>
    </w:p>
    <w:p>
      <w:pPr>
        <w:spacing w:line="300" w:lineRule="auto"/>
        <w:ind w:firstLine="48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10. 系统要求具有高兼容性，支持ONVIF、国标协议设备接入；</w:t>
      </w:r>
    </w:p>
    <w:p>
      <w:pPr>
        <w:spacing w:line="300" w:lineRule="auto"/>
        <w:ind w:firstLine="48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11. 要求支持上下级平台级联，如国标协议级联等</w:t>
      </w:r>
    </w:p>
    <w:p>
      <w:pPr>
        <w:spacing w:line="300" w:lineRule="auto"/>
        <w:ind w:firstLine="48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安全及开放性要求</w:t>
      </w:r>
    </w:p>
    <w:p>
      <w:pPr>
        <w:spacing w:line="300" w:lineRule="auto"/>
        <w:ind w:firstLine="48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 要求运行管理中心提供统一的认证、授权管理机制，支持HTTPS以及密码安全加密访问认证</w:t>
      </w:r>
    </w:p>
    <w:p>
      <w:pPr>
        <w:spacing w:line="300" w:lineRule="auto"/>
        <w:ind w:firstLine="48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 要求支持验证码、连续登陆尝试次数、用户IP地址限制等多种验证方式</w:t>
      </w:r>
    </w:p>
    <w:p>
      <w:pPr>
        <w:spacing w:line="300" w:lineRule="auto"/>
        <w:ind w:firstLine="48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 要求支持登录密码强度提醒，用户密码强度设置</w:t>
      </w:r>
    </w:p>
    <w:p>
      <w:pPr>
        <w:spacing w:line="300" w:lineRule="auto"/>
        <w:ind w:firstLine="48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 要求支持多网域访问</w:t>
      </w:r>
    </w:p>
    <w:p>
      <w:pPr>
        <w:spacing w:line="300" w:lineRule="auto"/>
        <w:ind w:firstLine="48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5. 要求支持数据库的管理，支持数据库的备份和恢复</w:t>
      </w:r>
    </w:p>
    <w:p>
      <w:pPr>
        <w:spacing w:line="300" w:lineRule="auto"/>
        <w:ind w:firstLine="48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6. 要求支持风格自定义，可自定义视图风格</w:t>
      </w:r>
    </w:p>
    <w:p>
      <w:pPr>
        <w:pStyle w:val="5"/>
        <w:tabs>
          <w:tab w:val="left" w:pos="709"/>
        </w:tabs>
        <w:spacing w:before="156" w:after="156"/>
      </w:pPr>
      <w:r>
        <w:rPr>
          <w:rFonts w:hint="eastAsia"/>
        </w:rPr>
        <w:t>2.2.</w:t>
      </w:r>
      <w:r>
        <w:t>1</w:t>
      </w:r>
      <w:r>
        <w:rPr>
          <w:rFonts w:hint="eastAsia" w:asciiTheme="minorEastAsia" w:hAnsiTheme="minorEastAsia" w:eastAsiaTheme="minorEastAsia"/>
          <w:bCs w:val="0"/>
          <w:color w:val="000000"/>
          <w:kern w:val="2"/>
          <w:sz w:val="28"/>
          <w:szCs w:val="28"/>
        </w:rPr>
        <w:t>视频监控要求</w:t>
      </w:r>
    </w:p>
    <w:p>
      <w:pPr>
        <w:spacing w:line="300" w:lineRule="auto"/>
        <w:ind w:firstLine="48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摄像机要求不低于400万像素，具备红外功能。视频实时预览即为对监控实时画面的预览，包括基础视频预览、视频参数控制、视图模式的预览，平台与监控点所在的摄像机对讲通道的实时对讲、批量广播以及对具备云台能力的监控点的实时云台控制。录像回放用于对历史视频录像的查询、定位、播放、录像流控、片段下载等应用。</w:t>
      </w:r>
    </w:p>
    <w:p>
      <w:pPr>
        <w:pStyle w:val="51"/>
        <w:widowControl/>
        <w:ind w:firstLine="0" w:firstLineChars="0"/>
        <w:jc w:val="center"/>
        <w:rPr>
          <w:szCs w:val="24"/>
        </w:rPr>
      </w:pPr>
      <w:r>
        <w:rPr>
          <w:szCs w:val="24"/>
        </w:rPr>
        <w:drawing>
          <wp:inline distT="0" distB="0" distL="114300" distR="114300">
            <wp:extent cx="4198620" cy="2362200"/>
            <wp:effectExtent l="0" t="0" r="7620" b="0"/>
            <wp:docPr id="7" name="图片 9" descr="15790778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descr="1579077826(1)"/>
                    <pic:cNvPicPr>
                      <a:picLocks noChangeAspect="1"/>
                    </pic:cNvPicPr>
                  </pic:nvPicPr>
                  <pic:blipFill>
                    <a:blip r:embed="rId7"/>
                    <a:stretch>
                      <a:fillRect/>
                    </a:stretch>
                  </pic:blipFill>
                  <pic:spPr>
                    <a:xfrm>
                      <a:off x="0" y="0"/>
                      <a:ext cx="4198620" cy="2362200"/>
                    </a:xfrm>
                    <a:prstGeom prst="rect">
                      <a:avLst/>
                    </a:prstGeom>
                    <a:noFill/>
                    <a:ln>
                      <a:noFill/>
                    </a:ln>
                  </pic:spPr>
                </pic:pic>
              </a:graphicData>
            </a:graphic>
          </wp:inline>
        </w:drawing>
      </w:r>
    </w:p>
    <w:p>
      <w:pPr>
        <w:pStyle w:val="16"/>
        <w:spacing w:line="360" w:lineRule="auto"/>
        <w:jc w:val="center"/>
      </w:pPr>
      <w:bookmarkStart w:id="7" w:name="_Toc75977911"/>
      <w:r>
        <w:rPr>
          <w:rFonts w:hint="eastAsia" w:eastAsia="仿宋" w:cs="仿宋"/>
          <w:sz w:val="21"/>
          <w:szCs w:val="21"/>
        </w:rPr>
        <w:t>矿端平台视频预览</w:t>
      </w:r>
      <w:bookmarkEnd w:id="7"/>
    </w:p>
    <w:p>
      <w:pPr>
        <w:pStyle w:val="5"/>
        <w:tabs>
          <w:tab w:val="left" w:pos="709"/>
        </w:tabs>
        <w:spacing w:before="156" w:after="156"/>
      </w:pPr>
      <w:r>
        <w:rPr>
          <w:rFonts w:hint="eastAsia"/>
        </w:rPr>
        <w:t>2.2.2</w:t>
      </w:r>
      <w:r>
        <w:rPr>
          <w:rFonts w:hint="eastAsia" w:asciiTheme="minorEastAsia" w:hAnsiTheme="minorEastAsia" w:eastAsiaTheme="minorEastAsia"/>
          <w:bCs w:val="0"/>
          <w:color w:val="000000"/>
          <w:kern w:val="2"/>
          <w:sz w:val="28"/>
          <w:szCs w:val="28"/>
        </w:rPr>
        <w:t>数据看板</w:t>
      </w:r>
    </w:p>
    <w:p>
      <w:pPr>
        <w:pStyle w:val="16"/>
        <w:numPr>
          <w:ilvl w:val="0"/>
          <w:numId w:val="9"/>
        </w:numPr>
        <w:spacing w:line="360" w:lineRule="auto"/>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图上信息展示</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支持在三维或二维静态图上展示监控点位、人员位置信息（接入人员定位数据）等。一旦监控点位报警，以不同颜色展示，点开监控详情，可查看抓拍的图片（最近一次）、实时视频、视频回放。</w:t>
      </w:r>
    </w:p>
    <w:p>
      <w:pPr>
        <w:pStyle w:val="16"/>
        <w:numPr>
          <w:ilvl w:val="0"/>
          <w:numId w:val="9"/>
        </w:numPr>
        <w:spacing w:line="360" w:lineRule="auto"/>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设备信息展示</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展示智能分析及监控设备的信息，包括IPC（智能、普通数量）、离线在线状态。</w:t>
      </w:r>
    </w:p>
    <w:bookmarkEnd w:id="5"/>
    <w:bookmarkEnd w:id="6"/>
    <w:p>
      <w:pPr>
        <w:pStyle w:val="3"/>
        <w:numPr>
          <w:ilvl w:val="0"/>
          <w:numId w:val="4"/>
        </w:numPr>
        <w:spacing w:before="0" w:after="0" w:line="360" w:lineRule="auto"/>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设备清单及技术要求</w:t>
      </w:r>
    </w:p>
    <w:p>
      <w:pPr>
        <w:pStyle w:val="4"/>
        <w:spacing w:before="120" w:after="120" w:line="360" w:lineRule="auto"/>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w:t>
      </w:r>
      <w:r>
        <w:rPr>
          <w:rFonts w:asciiTheme="minorEastAsia" w:hAnsiTheme="minorEastAsia" w:eastAsiaTheme="minorEastAsia"/>
          <w:color w:val="000000"/>
          <w:sz w:val="28"/>
          <w:szCs w:val="28"/>
        </w:rPr>
        <w:t>1</w:t>
      </w:r>
      <w:r>
        <w:rPr>
          <w:rFonts w:hint="eastAsia" w:asciiTheme="minorEastAsia" w:hAnsiTheme="minorEastAsia" w:eastAsiaTheme="minorEastAsia"/>
          <w:color w:val="000000"/>
          <w:sz w:val="28"/>
          <w:szCs w:val="28"/>
        </w:rPr>
        <w:t>主要设备及参数</w:t>
      </w:r>
    </w:p>
    <w:p>
      <w:pPr>
        <w:pStyle w:val="25"/>
        <w:keepNext/>
        <w:keepLines/>
        <w:numPr>
          <w:ilvl w:val="0"/>
          <w:numId w:val="10"/>
        </w:numPr>
        <w:spacing w:before="312" w:beforeLines="100" w:after="156" w:afterLines="50" w:line="360" w:lineRule="auto"/>
        <w:ind w:firstLineChars="0"/>
        <w:jc w:val="left"/>
        <w:outlineLvl w:val="2"/>
        <w:rPr>
          <w:rFonts w:cs="Times New Roman" w:asciiTheme="minorEastAsia" w:hAnsiTheme="minorEastAsia"/>
          <w:bCs/>
          <w:vanish/>
          <w:kern w:val="0"/>
          <w:sz w:val="28"/>
          <w:szCs w:val="28"/>
        </w:rPr>
      </w:pPr>
    </w:p>
    <w:p>
      <w:pPr>
        <w:pStyle w:val="25"/>
        <w:keepNext/>
        <w:keepLines/>
        <w:numPr>
          <w:ilvl w:val="0"/>
          <w:numId w:val="10"/>
        </w:numPr>
        <w:spacing w:before="312" w:beforeLines="100" w:after="156" w:afterLines="50" w:line="360" w:lineRule="auto"/>
        <w:ind w:firstLineChars="0"/>
        <w:jc w:val="left"/>
        <w:outlineLvl w:val="2"/>
        <w:rPr>
          <w:rFonts w:cs="Times New Roman" w:asciiTheme="minorEastAsia" w:hAnsiTheme="minorEastAsia"/>
          <w:bCs/>
          <w:vanish/>
          <w:kern w:val="0"/>
          <w:sz w:val="28"/>
          <w:szCs w:val="28"/>
        </w:rPr>
      </w:pPr>
    </w:p>
    <w:p>
      <w:pPr>
        <w:pStyle w:val="25"/>
        <w:keepNext/>
        <w:keepLines/>
        <w:numPr>
          <w:ilvl w:val="0"/>
          <w:numId w:val="10"/>
        </w:numPr>
        <w:spacing w:before="312" w:beforeLines="100" w:after="156" w:afterLines="50" w:line="360" w:lineRule="auto"/>
        <w:ind w:firstLineChars="0"/>
        <w:jc w:val="left"/>
        <w:outlineLvl w:val="2"/>
        <w:rPr>
          <w:rFonts w:cs="Times New Roman" w:asciiTheme="minorEastAsia" w:hAnsiTheme="minorEastAsia"/>
          <w:bCs/>
          <w:vanish/>
          <w:kern w:val="0"/>
          <w:sz w:val="28"/>
          <w:szCs w:val="28"/>
        </w:rPr>
      </w:pPr>
    </w:p>
    <w:p>
      <w:pPr>
        <w:pStyle w:val="25"/>
        <w:keepNext/>
        <w:keepLines/>
        <w:numPr>
          <w:ilvl w:val="1"/>
          <w:numId w:val="10"/>
        </w:numPr>
        <w:spacing w:before="312" w:beforeLines="100" w:after="156" w:afterLines="50" w:line="360" w:lineRule="auto"/>
        <w:ind w:firstLineChars="0"/>
        <w:jc w:val="left"/>
        <w:outlineLvl w:val="2"/>
        <w:rPr>
          <w:rFonts w:cs="Times New Roman" w:asciiTheme="minorEastAsia" w:hAnsiTheme="minorEastAsia"/>
          <w:bCs/>
          <w:vanish/>
          <w:kern w:val="0"/>
          <w:sz w:val="28"/>
          <w:szCs w:val="28"/>
        </w:rPr>
      </w:pPr>
    </w:p>
    <w:p>
      <w:pPr>
        <w:pStyle w:val="5"/>
        <w:numPr>
          <w:ilvl w:val="2"/>
          <w:numId w:val="10"/>
        </w:numPr>
        <w:spacing w:before="312" w:beforeLines="100" w:after="156"/>
        <w:jc w:val="left"/>
        <w:rPr>
          <w:rFonts w:asciiTheme="minorEastAsia" w:hAnsiTheme="minorEastAsia" w:eastAsiaTheme="minorEastAsia"/>
          <w:sz w:val="28"/>
          <w:szCs w:val="28"/>
        </w:rPr>
      </w:pPr>
      <w:r>
        <w:rPr>
          <w:rFonts w:asciiTheme="minorEastAsia" w:hAnsiTheme="minorEastAsia" w:eastAsiaTheme="minorEastAsia"/>
          <w:sz w:val="28"/>
          <w:szCs w:val="28"/>
        </w:rPr>
        <w:t>46</w:t>
      </w:r>
      <w:r>
        <w:rPr>
          <w:rFonts w:hint="eastAsia" w:asciiTheme="minorEastAsia" w:hAnsiTheme="minorEastAsia" w:eastAsiaTheme="minorEastAsia"/>
          <w:sz w:val="28"/>
          <w:szCs w:val="28"/>
        </w:rPr>
        <w:t>寸LCD拼接屏</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1.LCD显示单元为：46“超窄边液晶屏；物理分辨率达到1920×1080，响应时间≤8ms。</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2.LCD显示单元物理拼缝≤3.5mm，亮度达到610cd/㎡，对比度达到1200:1，图像显示清晰度≥950TVL，亮度鉴别等级为11级。（提供公安部出具的检验报告复印件）</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3.LCD显示单元具备能效等级为1级的CQC节能认证证书、CEC环境I型认证证书。</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4.★液晶显示单元内置图像处理芯片，能够实时分析显示内容资料，实现在影片、汇报和监控三种场景模式下智能切换。（提供封面具有CMA、ilac-MRA、CNAS标志的权威检测机构的检测报告复印件）</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5.★无需额外配置分配器或矩阵，液晶显示单元本身支持VGA、DVI、HDMI和DP四种信号中任意一种信号输入，均能通过HDMI或者DP环出，且信号环通级数达到35级，最后一级显示无噪点。（提供封面具有CMA、ilac-MRA、CNAS标志的权威检测机构的检测报告复印件）</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6.★拼接屏具有实时分析当前画面亮度分布比例，自动调整亮度值的功能，具有动态调节画面对比度，可提高暗阶画面亮度，增强暗画面显示细节的功能。（提供封面具有CMA、ilac-MRA、CNAS标志的权威检测机构的检测报告复印件）</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7.为保护环境要求，液晶拼接屏需满足中国电器电子产品有害物质限制使用的要求，并提供中国质量认证中心产品认证证书。</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8.LCD显示单元具备智能光感护眼功能,液晶单元可自动识别环境光强弱,根据环境光变化调节屏幕亮度，需提供国家知识产权局颁发的大屏拼接墙光线感应装置专利证书。</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9.液晶显示单元校正后，色坐标误差≤±0.001，亮度误差≤±10nit,0-255灰阶中32灰阶以上，每阶之间色温误差≤±500K。（提供封面具有CMA、ilac-MRA、CNAS标志的权威检测机构的检测报告复印件）</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10.液晶显示单元支持以像素点为单位进行Mura矫正，能够消除屏幕局部亮暗不均现象，屏幕所有像素点亮度均一性达到80%。（提供封面具有CMA、ilac-MRA、CNAS标志的权威检测机构的检测报告复印件）</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11.★拼接屏具有检测并匹配与输入信源相同的颜色空间的功能，使显示画面不丢失暗阶、亮阶细节。（提供封面具有CMA、ilac-MRA、CNAS标志的权威检测机构的检测报告复印件）</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12.★拼接屏具有屏幕边缘渐进修正功能，修正屏间边缘颜色过渡不均匀。（提供封面具有CMA、ilac-MRA、CNAS标志的权威检测机构的检测报告复印件）。</w:t>
      </w:r>
    </w:p>
    <w:p>
      <w:pPr>
        <w:spacing w:line="300" w:lineRule="auto"/>
      </w:pPr>
      <w:r>
        <w:rPr>
          <w:rFonts w:hint="eastAsia" w:asciiTheme="minorEastAsia" w:hAnsiTheme="minorEastAsia" w:eastAsiaTheme="minorEastAsia"/>
          <w:sz w:val="28"/>
          <w:szCs w:val="28"/>
        </w:rPr>
        <w:t>★参数需提供相关权威检测报告复印件予以证明，并加盖设备厂家公章</w:t>
      </w:r>
    </w:p>
    <w:p>
      <w:pPr>
        <w:pStyle w:val="5"/>
        <w:numPr>
          <w:ilvl w:val="2"/>
          <w:numId w:val="10"/>
        </w:numPr>
        <w:spacing w:before="312" w:beforeLines="100" w:after="156"/>
        <w:jc w:val="left"/>
        <w:rPr>
          <w:rFonts w:asciiTheme="minorEastAsia" w:hAnsiTheme="minorEastAsia" w:eastAsiaTheme="minorEastAsia"/>
          <w:sz w:val="28"/>
          <w:szCs w:val="28"/>
        </w:rPr>
      </w:pPr>
      <w:r>
        <w:rPr>
          <w:rFonts w:hint="eastAsia" w:asciiTheme="minorEastAsia" w:hAnsiTheme="minorEastAsia" w:eastAsiaTheme="minorEastAsia"/>
          <w:sz w:val="28"/>
          <w:szCs w:val="28"/>
        </w:rPr>
        <w:t>高清解码器</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1.采用嵌入式架构，专用Linux系统，使用DSP解码。为了设备稳定可靠运行，不得采用工控机或者PC机的X86架构。</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2.具有16个HDMI输出接口、1个VGA输入接口、1个DVI输入接口、2个USB口、1个语音对讲输入、1个语音对讲输出、16个音频输出、8个报警输入、8个报警输出、1个RS485接口、8个CVBS输出接口（通过转接头实现）、1个RS232接口，2个千兆网口、2个光口。样机采用AC220V电源供电。</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3.★支持对输入的视频画面进行90°、180°、270°旋转显示。（提供封面具有CNAS认证标识的公安部报告证明。）</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4.★输入信号接入解码器后上墙显示，支持YUV422上墙显示；（提供封面具有CNAS认证标识的公安部报告证明。）</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5.支持PC 软件客户端、WEB 浏览器客户端、平台客户端、IPAD、可视化触控平台方式访问管理。</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6.支持1、2、4、6、8、9、10、12、16、25、36画面分割显示；支持平均分割；支持分割线开启/关闭设置，支持底色设置功能。</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7.★可将样机当前的解码输出模式设置为一个场景，样机可保存多个场景，并可通过客户端软件切换样机场景提供封面具有CNAS认证标识的公安部报告证明。（提供封面具有CNAS认证标识的公安部报告证明。）</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8.支持客户端软件设置底色，当无解码画面时，设置输出显示该底色。</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9.可通过客户端软件将显示窗口在多个显示屏间进行拖动或跨屏显示，并可调节显示窗口大小。</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10.设备通过高温、低温、恒定湿热试验（高温55±2℃，低温-10±3℃，持续时间2H；相对湿度90%~95%、温度40±2℃，持续时间48H）。</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★参数需提供相关权威检测报告复印件予以证明，并加盖设备厂家公章</w:t>
      </w:r>
    </w:p>
    <w:p>
      <w:pPr>
        <w:pStyle w:val="5"/>
        <w:numPr>
          <w:ilvl w:val="2"/>
          <w:numId w:val="10"/>
        </w:numPr>
        <w:spacing w:before="312" w:beforeLines="100" w:after="156"/>
        <w:jc w:val="left"/>
        <w:rPr>
          <w:rFonts w:asciiTheme="minorEastAsia" w:hAnsiTheme="minorEastAsia" w:eastAsiaTheme="minorEastAsia"/>
          <w:sz w:val="28"/>
          <w:szCs w:val="28"/>
        </w:rPr>
      </w:pPr>
      <w:r>
        <w:rPr>
          <w:rFonts w:hint="eastAsia" w:asciiTheme="minorEastAsia" w:hAnsiTheme="minorEastAsia" w:eastAsiaTheme="minorEastAsia"/>
          <w:sz w:val="28"/>
          <w:szCs w:val="28"/>
        </w:rPr>
        <w:t>400万变焦高清网络筒机</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1.内置GPU芯片。</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2.内置麦克风和喇叭。</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3.最低照度彩色：0.0005 lx，黑白:0.0001 lx，最大亮度鉴别等级（灰度等级）不小于11级。</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4.红外补光距离不小于100米。</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5.需支持双码流技术，主码流最高2560x1440@25fps，子码流640x480@25fps。</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6.支持H.264、H.265、MJPEG视频编码格式，其中H.264支持Baseline/Main/High Profile。</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7.支持检出两眼瞳距20像素点以上的人脸图片。</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8.★需具备区域入侵、越界入侵、进入区域、离开区域等功能，并可将分析目标设置为人、车辆、人和车辆三种，可对布防时间和联动报警方式进行设置。（公安部检验报告证明）</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9.支持声音报警功能，报警声音类型不小于10种，报警声级及报警次数可设置。</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10.★需具备智能分析抗干扰功能，当篮球、小狗、树叶等非人或车辆目标经过检测区域时，不会触发报警。（公安部检验报告证明）</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11.★支持快捷配置功能，可在预览画面开启/关闭“快捷配置”页面，对曝光参数、OSD、智能资源分配模式等参数进行配置，并可一键恢复为默认设置。（公安部检验报告证明）</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12.不低于IP67防尘防水等级，不低于IK10防暴等级。（公安部检验报告证明）</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★参数需提供相关权威检测报告复印件予以证明，并加盖设备厂家公章</w:t>
      </w:r>
    </w:p>
    <w:p>
      <w:pPr>
        <w:pStyle w:val="5"/>
        <w:numPr>
          <w:ilvl w:val="2"/>
          <w:numId w:val="10"/>
        </w:numPr>
        <w:spacing w:before="312" w:beforeLines="100" w:after="156"/>
        <w:jc w:val="left"/>
        <w:rPr>
          <w:rFonts w:asciiTheme="minorEastAsia" w:hAnsiTheme="minorEastAsia" w:eastAsiaTheme="minorEastAsia"/>
          <w:sz w:val="28"/>
          <w:szCs w:val="28"/>
        </w:rPr>
      </w:pPr>
      <w:r>
        <w:rPr>
          <w:rFonts w:hint="eastAsia" w:asciiTheme="minorEastAsia" w:hAnsiTheme="minorEastAsia" w:eastAsiaTheme="minorEastAsia"/>
          <w:sz w:val="28"/>
          <w:szCs w:val="28"/>
        </w:rPr>
        <w:t>矿用隔爆兼本安型网络摄像机</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额定工作电压：AC 127V；</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输入视在功率：≤100VA；</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内置网络端口：两光三电；</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接口类型：SC</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传输方式：全双工TCP/IP传输协议；</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波长：1310nm；</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传输速率为：100Mbps；</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发射功率：(-15～0)dBm（0.1mW～1mW）；</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接收灵敏度：≤-25dBm；</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最大传输距离：不小于10 km</w:t>
      </w:r>
    </w:p>
    <w:p>
      <w:pPr>
        <w:pStyle w:val="5"/>
        <w:numPr>
          <w:ilvl w:val="2"/>
          <w:numId w:val="10"/>
        </w:numPr>
        <w:spacing w:before="312" w:beforeLines="100" w:after="156"/>
        <w:jc w:val="left"/>
        <w:rPr>
          <w:rFonts w:asciiTheme="minorEastAsia" w:hAnsiTheme="minorEastAsia" w:eastAsiaTheme="minorEastAsia"/>
          <w:sz w:val="28"/>
          <w:szCs w:val="28"/>
        </w:rPr>
      </w:pPr>
      <w:r>
        <w:rPr>
          <w:rFonts w:hint="eastAsia" w:asciiTheme="minorEastAsia" w:hAnsiTheme="minorEastAsia" w:eastAsiaTheme="minorEastAsia"/>
          <w:sz w:val="28"/>
          <w:szCs w:val="28"/>
        </w:rPr>
        <w:t>400万高清网络球机</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1.视频输出支持2560×1440@25fps，分辨力不小于1400TVL，红外距离可达300米</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2.支持最低照度可达彩色0.0003Lux，黑白0.0001Lux（以公安部检验报告为准）</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3.支持23倍光学变焦</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4.支持水平手控速度不小于550°/S，垂直速度不小于120°/S，云台定位精度为±0.01°（以公安部检验报告为准）</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5.水平旋转范围为360°连续旋转，垂直旋转范围为-20°~90°</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6.★可对镜头前盖玻璃进行加热，去除玻璃上的冰状和水状附着物</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7.★当通过IE浏览器手动点击或框选预览画面中的人脸时，设备能通过PTZ转动将人脸置于画面中心，并对人脸进行抓拍。（以公安部检验报告为准）</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8.★可通过IE浏览器实时预览设备抓拍的人脸图片，并可在历史记录中存储不小于100张人脸抓拍图片。（以公安部检验报告为准）</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9.设备可对监视画面中不小于30张人脸进行检测、跟踪和抓拍。（以公安部检验报告为准）</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10.支持300个预置位，可按照所设置的预置位完成不小于8条巡航路径，支持不小于4条模式路径设置，支持预置位视频冻结功能；可实现RS485接口优先或RJ45网络接口优先控制功能</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11.具备较强的网络适应能力，在丢包率为20%的网络环境下，仍可正常显示监视画面。</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12.球机应具备本机存储功能，支持SD卡热插拔，最大支持256GB</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13.支持GB28181协议，支持标准Onvif协议</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14.具备较好的防护性能环境适应性，支持IP67，6kV防浪涌，工作温度范围可达-40℃-70℃</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★参数需提供相关权威检测报告复印件予以证明，并加盖设备厂家公章</w:t>
      </w:r>
    </w:p>
    <w:p>
      <w:pPr>
        <w:pStyle w:val="5"/>
        <w:numPr>
          <w:ilvl w:val="2"/>
          <w:numId w:val="10"/>
        </w:numPr>
        <w:spacing w:before="312" w:beforeLines="100" w:after="156"/>
        <w:jc w:val="left"/>
        <w:rPr>
          <w:rFonts w:asciiTheme="minorEastAsia" w:hAnsiTheme="minorEastAsia" w:eastAsiaTheme="minorEastAsia"/>
          <w:sz w:val="28"/>
          <w:szCs w:val="28"/>
        </w:rPr>
      </w:pPr>
      <w:r>
        <w:rPr>
          <w:rFonts w:hint="eastAsia" w:asciiTheme="minorEastAsia" w:hAnsiTheme="minorEastAsia" w:eastAsiaTheme="minorEastAsia"/>
          <w:sz w:val="28"/>
          <w:szCs w:val="28"/>
        </w:rPr>
        <w:t>2400万智能球型全景摄像机</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具备AR视频标签添加，修改，删除和标准等系列管理功能，支持全景通道添加最多1000个标签，细节通道添加最多500个标签；标签类型包括：警务站视频标签，建筑物视频标签，卡口视频标签，普通视频标签等（以公安部检验报告为准）</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具备AR视频标签联动功能，并可对高-高，高-低，低-高三种标签的位置的视频图像，进行切换预览。（以公安部型式检验报告为准）</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2.★支持标签跟踪和同步功能，可对全景通道、细节通道监控画面中移动标签进行跟踪且跟踪时间、跟踪倍率可设置。在跟踪过程中，移动标签应始终位于画面中心位置。在细节通道上添加或删除指定标签时，全景通道的相同位置应自动添加或删除该标签。</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3.自带镜头，另配6个图像采集模块，可输出1路主视频图像和6路辅视频图像。可将辅视频图像进行无缝拼接，拼接后的辅视频图像：水平视场角为270°，垂直视场角为80°</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4.主视频图像：2560×1440@25fps，辅视频图像：8160×2400@30fps，其中主视频图像分辨力不小于1600线。（以公安部型式检验报告为准）</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5.摄像机全景镜头光圈均不小于F1.0（以公安部型式检验报告为准）</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6.★摄像机内置除湿器，可对样机内部进行除湿，除去玻璃罩上的水状附着物。（以公安部型式检验报告为准）</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7.内置不少于3个GPU芯片 。（以公安部型式检验报告为准）</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8.★设备镜头需具备良好的防刮性能，应采用蓝宝石单晶透光片，在使用淬硬的钢针以不小于10牛的作用力，不小于20毫米每秒的速度划痕，钢针移动距离不小于15厘米的情况下，设备透光片无明显划痕且不被刺透。（以公安部型式检测报告为准）</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9.主视频支持不小于40倍光学变倍，支持检测当前镜头指向方向与地平面夹角，并可根据夹角变化自动调整倍率（以公安部检验报告为准）</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10.产品支持人员密度功能，支持通过IE浏览器对辅助视频的全景画面设备不少于6个检测框，检测区域人数可通过OSD叠加的形式显示，并且可设置3个等级的人数，当检测框中的人数在3个等级之间变化时可触发报警。支持热度图叠加显示。</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11.当通过IE浏览器手动点击或框选预览画面中的人脸时，设备能通过PTZ转动将人脸置于画面中心，并对人脸进行抓拍。（以公安部检验报告为准）</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12.支持目标过滤功能，在区域入侵、越界入侵、进入区域、离开区域、徘徊、快速移动、停车、物品遗留及物品移除的智能行为分析事件中，可以分别设置4个检测区域，每个检测区域可设置目标尺寸范围，产品应仅对预设尺寸阈值范围内的目标的智能行为进行检测。</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★参数需提供相关权威检测报告复印件予以证明，并加盖设备厂家公章</w:t>
      </w:r>
    </w:p>
    <w:p>
      <w:pPr>
        <w:pStyle w:val="5"/>
        <w:numPr>
          <w:ilvl w:val="2"/>
          <w:numId w:val="10"/>
        </w:numPr>
        <w:spacing w:before="312" w:beforeLines="100" w:after="156"/>
        <w:jc w:val="left"/>
        <w:rPr>
          <w:rFonts w:asciiTheme="minorEastAsia" w:hAnsiTheme="minorEastAsia" w:eastAsiaTheme="minorEastAsia"/>
          <w:sz w:val="28"/>
          <w:szCs w:val="28"/>
        </w:rPr>
      </w:pPr>
      <w:r>
        <w:rPr>
          <w:rFonts w:hint="eastAsia" w:asciiTheme="minorEastAsia" w:hAnsiTheme="minorEastAsia" w:eastAsiaTheme="minorEastAsia"/>
          <w:sz w:val="28"/>
          <w:szCs w:val="28"/>
        </w:rPr>
        <w:t>磁盘阵列</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1.★单设备配置≥64位多核处理器，≥16GB内存，内存支持扩展到≥64GB，内置含480TB企业级存储容量，配置冗余白金牌电源</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2.标配≥2个千兆网口，1个VGA接口，2个USB3.0接口；（以公安部检测报告为准）</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3.可接入2T/3T/4T/6T/8T/10T/14T/15T/16T/18T SATA磁盘，支持磁盘交错启动、分时启动和磁盘漫游，并支持在线热插拔；</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4.提供RAID0、1、3、5、6、10、50，60、JBOD模式</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5.★应能对视音频、图片及智能分析录像的混合直存，节省存储服务器和图片服务器；（以公安部检测报告为准）</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6.应能接入并存储1880Mbps视频图像，同时转发1880Mbps的视频图像；同时回放512Mbps的视频图像；</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7.★可支持视频质量诊断功能，对图像的亮度、偏色、对比度、清晰度、视频丢失、条纹干扰、视频噪声、视频虚焦等特征进行实时分析，并以日志、报表和图形化方式显示结果（以公安部检测报告为准）</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8.可在视频画面上绘制区域或界线，检索指定范围内的报警录像；输入车牌号码可检索出相关图片和视频；可按照报警事件进行检索。</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9.★将接入的鱼眼摄像机、双目摄像机、全景自拼接摄像机（鹰眼摄像机）、热成像摄像机的图像以多画面分割方式显示并进行调整（以公安部检测报告为准）</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10.通过客户端软件添加及删除手机号，启用短信网关报警功能后，可向添加的手机号码发送电源异常、系统卡容量不足、存储空间异常、自动修复失败、私有卷IO异常、无可用逻辑卷等报警信息，报警种类可设。</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11.在UI界面实时显示磁盘体检状态，对异常状态磁盘，可查看处理建议信息</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12.在冗余范围内元数据丢失时，可自动进行数据恢复，并保持业务不中断。</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★参数需提供相关权威检测报告复印件予以证明，并加盖设备厂家公章</w:t>
      </w:r>
    </w:p>
    <w:p>
      <w:pPr>
        <w:pStyle w:val="5"/>
        <w:numPr>
          <w:ilvl w:val="2"/>
          <w:numId w:val="10"/>
        </w:numPr>
        <w:spacing w:before="312" w:beforeLines="100" w:after="156"/>
        <w:jc w:val="left"/>
        <w:rPr>
          <w:rFonts w:asciiTheme="minorEastAsia" w:hAnsiTheme="minorEastAsia" w:eastAsiaTheme="minorEastAsia"/>
          <w:sz w:val="28"/>
          <w:szCs w:val="28"/>
        </w:rPr>
      </w:pPr>
      <w:r>
        <w:rPr>
          <w:rFonts w:hint="eastAsia" w:asciiTheme="minorEastAsia" w:hAnsiTheme="minorEastAsia" w:eastAsiaTheme="minorEastAsia"/>
          <w:sz w:val="28"/>
          <w:szCs w:val="28"/>
        </w:rPr>
        <w:t>生产监管平台软件</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实现安防系统的智能化应用及统一集成化管理。本次授权路数不低于500路。</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1.系统要求支持BS、CS客户端以及IOS、Android移动端应用</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2.系统要求具有高兼容性，支持ONVIF、国标协议设备接入</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3.要求支持上下级平台级联，如国标协议级联等</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4.要求支持平台事件图片存储到CVR、云存储</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5.要求支持根据用户使用习惯自定义配置快捷功能入口，支持首页投放大屏展示，支持最近7天每日的用户活跃数统计</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6.★要求支持多色彩（红、橙、黄）展示运行告警状态，支持告警统计、概览、处理，支持告警记录查看、查询，支持告警单条、批量处理；支持系统最近7天每日告警数统计，支持评分量化系统监控指数，显示系统运行状态（需提供公安部检验报告复印件并加盖公章）</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7.要求支持导航视图管理，对系统内各节点进行查看、增加、删除、修改，展示、查找；支持对系统内所有服务器进行监控，包括名称、IP地址、状态、未处理告警数、CPU使用率、内存使用率、磁盘容量、主机代理版等；支持对系统内所有组件信息进行监控，组件信息包含：组件名称、未处理告警数、所属服务器、最近操作时间、授权状态、维保期限、使用期限等（需提供公安部检验报告复印件并加盖公章）</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8.要求支持在接收到实时报警时进行声音提示，以及报警闪烁</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9.★要求支持对违规行为事件进行查看，查看信息包括：基本信息，事件发生地点的实时视频、历史录像，事件发生时的抓图</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10.要求支持以脸搜脸，对人脸图片进行检索，检索结果支持列表模式和地图模式，地图模式可以按照时间顺序形成人脸轨迹，用于描述目标人员在该区域的移动路线</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11.★要求支持根据项目实际情况将系统事件、报警事件、AI事件、组合事件定义为隐患事件，并可以定义隐患登记。隐患登记分为：一般、重大</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12.支持导入本地算法模型和在线远程获取算法模型，在配置完成后，下发给IPC或NVR</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13.★要求支持在AR实景地图上通过重大危险源、污染源、卡口、监控中心、视频监控、热成像、区域、应急资源等类型的标签</w:t>
      </w:r>
    </w:p>
    <w:p>
      <w:p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★参数需提供相关权威检测报告复印件予以证明，并加盖设备厂家公章</w:t>
      </w:r>
    </w:p>
    <w:p>
      <w:pPr>
        <w:pStyle w:val="4"/>
        <w:spacing w:before="120" w:after="120" w:line="360" w:lineRule="auto"/>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w:t>
      </w:r>
      <w:r>
        <w:rPr>
          <w:rFonts w:asciiTheme="minorEastAsia" w:hAnsiTheme="minorEastAsia" w:eastAsiaTheme="minorEastAsia"/>
          <w:color w:val="000000"/>
          <w:sz w:val="28"/>
          <w:szCs w:val="28"/>
        </w:rPr>
        <w:t>2</w:t>
      </w:r>
      <w:r>
        <w:rPr>
          <w:rFonts w:hint="eastAsia" w:asciiTheme="minorEastAsia" w:hAnsiTheme="minorEastAsia" w:eastAsiaTheme="minorEastAsia"/>
          <w:color w:val="000000"/>
          <w:sz w:val="28"/>
          <w:szCs w:val="28"/>
        </w:rPr>
        <w:t>主要设备清单</w:t>
      </w:r>
    </w:p>
    <w:tbl>
      <w:tblPr>
        <w:tblStyle w:val="17"/>
        <w:tblpPr w:leftFromText="180" w:rightFromText="180" w:vertAnchor="text" w:horzAnchor="page" w:tblpX="1888" w:tblpY="303"/>
        <w:tblOverlap w:val="never"/>
        <w:tblW w:w="9656" w:type="dxa"/>
        <w:tblInd w:w="0" w:type="dxa"/>
        <w:tblLayout w:type="autofit"/>
        <w:tblCellMar>
          <w:top w:w="0" w:type="dxa"/>
          <w:left w:w="108" w:type="dxa"/>
          <w:bottom w:w="0" w:type="dxa"/>
          <w:right w:w="108" w:type="dxa"/>
        </w:tblCellMar>
      </w:tblPr>
      <w:tblGrid>
        <w:gridCol w:w="541"/>
        <w:gridCol w:w="2252"/>
        <w:gridCol w:w="4356"/>
        <w:gridCol w:w="816"/>
        <w:gridCol w:w="607"/>
        <w:gridCol w:w="1084"/>
      </w:tblGrid>
      <w:tr>
        <w:tblPrEx>
          <w:tblCellMar>
            <w:top w:w="0" w:type="dxa"/>
            <w:left w:w="108" w:type="dxa"/>
            <w:bottom w:w="0" w:type="dxa"/>
            <w:right w:w="108" w:type="dxa"/>
          </w:tblCellMar>
        </w:tblPrEx>
        <w:trPr>
          <w:trHeight w:val="285" w:hRule="atLeast"/>
        </w:trPr>
        <w:tc>
          <w:tcPr>
            <w:tcW w:w="550" w:type="dxa"/>
            <w:tcBorders>
              <w:top w:val="single" w:color="auto" w:sz="4" w:space="0"/>
              <w:left w:val="single" w:color="auto" w:sz="4" w:space="0"/>
              <w:bottom w:val="single" w:color="auto" w:sz="4" w:space="0"/>
              <w:right w:val="single" w:color="auto" w:sz="4" w:space="0"/>
            </w:tcBorders>
            <w:shd w:val="clear" w:color="000000" w:fill="C0C0C0"/>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2252"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名称</w:t>
            </w:r>
          </w:p>
        </w:tc>
        <w:tc>
          <w:tcPr>
            <w:tcW w:w="4356"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型号</w:t>
            </w:r>
            <w:r>
              <w:rPr>
                <w:rFonts w:hint="eastAsia" w:ascii="Arial" w:hAnsi="Arial" w:cs="Arial"/>
                <w:b/>
                <w:bCs/>
                <w:kern w:val="0"/>
                <w:sz w:val="18"/>
                <w:szCs w:val="18"/>
              </w:rPr>
              <w:t>/</w:t>
            </w:r>
            <w:r>
              <w:rPr>
                <w:rFonts w:hint="eastAsia" w:ascii="宋体" w:hAnsi="宋体" w:cs="宋体"/>
                <w:b/>
                <w:bCs/>
                <w:kern w:val="0"/>
                <w:sz w:val="18"/>
                <w:szCs w:val="18"/>
              </w:rPr>
              <w:t>规格</w:t>
            </w:r>
          </w:p>
        </w:tc>
        <w:tc>
          <w:tcPr>
            <w:tcW w:w="739"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数量</w:t>
            </w:r>
          </w:p>
        </w:tc>
        <w:tc>
          <w:tcPr>
            <w:tcW w:w="623"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单位</w:t>
            </w:r>
          </w:p>
        </w:tc>
        <w:tc>
          <w:tcPr>
            <w:tcW w:w="1136" w:type="dxa"/>
            <w:tcBorders>
              <w:top w:val="single" w:color="auto" w:sz="4" w:space="0"/>
              <w:left w:val="nil"/>
              <w:bottom w:val="single" w:color="auto" w:sz="4" w:space="0"/>
              <w:right w:val="single" w:color="auto" w:sz="4" w:space="0"/>
            </w:tcBorders>
            <w:shd w:val="clear" w:color="000000" w:fill="C0C0C0"/>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厂家</w:t>
            </w:r>
          </w:p>
        </w:tc>
      </w:tr>
      <w:tr>
        <w:tblPrEx>
          <w:tblCellMar>
            <w:top w:w="0" w:type="dxa"/>
            <w:left w:w="108" w:type="dxa"/>
            <w:bottom w:w="0" w:type="dxa"/>
            <w:right w:w="108" w:type="dxa"/>
          </w:tblCellMar>
        </w:tblPrEx>
        <w:trPr>
          <w:trHeight w:val="285" w:hRule="atLeast"/>
        </w:trPr>
        <w:tc>
          <w:tcPr>
            <w:tcW w:w="550"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1</w:t>
            </w:r>
          </w:p>
        </w:tc>
        <w:tc>
          <w:tcPr>
            <w:tcW w:w="2252" w:type="dxa"/>
            <w:tcBorders>
              <w:top w:val="nil"/>
              <w:left w:val="nil"/>
              <w:bottom w:val="single" w:color="auto" w:sz="4" w:space="0"/>
              <w:right w:val="single" w:color="auto" w:sz="4" w:space="0"/>
            </w:tcBorders>
            <w:vAlign w:val="center"/>
          </w:tcPr>
          <w:p>
            <w:pPr>
              <w:widowControl/>
              <w:jc w:val="left"/>
              <w:rPr>
                <w:sz w:val="18"/>
                <w:szCs w:val="18"/>
              </w:rPr>
            </w:pPr>
            <w:r>
              <w:rPr>
                <w:rFonts w:hint="eastAsia"/>
                <w:sz w:val="18"/>
                <w:szCs w:val="18"/>
              </w:rPr>
              <w:t>46寸LCD拼接屏</w:t>
            </w:r>
          </w:p>
        </w:tc>
        <w:tc>
          <w:tcPr>
            <w:tcW w:w="4356" w:type="dxa"/>
            <w:tcBorders>
              <w:top w:val="nil"/>
              <w:left w:val="nil"/>
              <w:bottom w:val="single" w:color="auto" w:sz="4" w:space="0"/>
              <w:right w:val="single" w:color="auto" w:sz="4" w:space="0"/>
            </w:tcBorders>
            <w:vAlign w:val="center"/>
          </w:tcPr>
          <w:p>
            <w:pPr>
              <w:widowControl/>
              <w:rPr>
                <w:kern w:val="0"/>
                <w:sz w:val="18"/>
                <w:szCs w:val="18"/>
              </w:rPr>
            </w:pPr>
            <w:r>
              <w:rPr>
                <w:rFonts w:hint="eastAsia"/>
                <w:kern w:val="0"/>
                <w:sz w:val="18"/>
                <w:szCs w:val="18"/>
              </w:rPr>
              <w:t>尺寸:46英寸；拼缝：3.5mm</w:t>
            </w:r>
          </w:p>
          <w:p>
            <w:pPr>
              <w:widowControl/>
              <w:rPr>
                <w:kern w:val="0"/>
                <w:sz w:val="18"/>
                <w:szCs w:val="18"/>
              </w:rPr>
            </w:pPr>
            <w:r>
              <w:rPr>
                <w:rFonts w:hint="eastAsia"/>
                <w:kern w:val="0"/>
                <w:sz w:val="18"/>
                <w:szCs w:val="18"/>
              </w:rPr>
              <w:t>分辨率 ：1920 × 1080@60 Hz（向下兼容）；</w:t>
            </w:r>
          </w:p>
          <w:p>
            <w:pPr>
              <w:widowControl/>
              <w:rPr>
                <w:kern w:val="0"/>
                <w:sz w:val="18"/>
                <w:szCs w:val="18"/>
              </w:rPr>
            </w:pPr>
            <w:r>
              <w:rPr>
                <w:rFonts w:hint="eastAsia"/>
                <w:kern w:val="0"/>
                <w:sz w:val="18"/>
                <w:szCs w:val="18"/>
              </w:rPr>
              <w:t>视角：垂直上下178°,水平左右178°(CR≥10)；</w:t>
            </w:r>
          </w:p>
          <w:p>
            <w:pPr>
              <w:widowControl/>
              <w:rPr>
                <w:kern w:val="0"/>
                <w:sz w:val="18"/>
                <w:szCs w:val="18"/>
              </w:rPr>
            </w:pPr>
            <w:r>
              <w:rPr>
                <w:rFonts w:hint="eastAsia"/>
                <w:kern w:val="0"/>
                <w:sz w:val="18"/>
                <w:szCs w:val="18"/>
              </w:rPr>
              <w:t>响应时间：8ms(G to G)；</w:t>
            </w:r>
          </w:p>
          <w:p>
            <w:pPr>
              <w:widowControl/>
              <w:rPr>
                <w:kern w:val="0"/>
                <w:sz w:val="18"/>
                <w:szCs w:val="18"/>
              </w:rPr>
            </w:pPr>
            <w:r>
              <w:rPr>
                <w:rFonts w:hint="eastAsia"/>
                <w:kern w:val="0"/>
                <w:sz w:val="18"/>
                <w:szCs w:val="18"/>
              </w:rPr>
              <w:t>对比度：1200:1；</w:t>
            </w:r>
          </w:p>
          <w:p>
            <w:pPr>
              <w:widowControl/>
              <w:rPr>
                <w:kern w:val="0"/>
                <w:sz w:val="18"/>
                <w:szCs w:val="18"/>
              </w:rPr>
            </w:pPr>
            <w:r>
              <w:rPr>
                <w:rFonts w:hint="eastAsia"/>
                <w:kern w:val="0"/>
                <w:sz w:val="18"/>
                <w:szCs w:val="18"/>
              </w:rPr>
              <w:t>亮度：500cd/㎡；</w:t>
            </w:r>
          </w:p>
          <w:p>
            <w:pPr>
              <w:widowControl/>
              <w:rPr>
                <w:kern w:val="0"/>
                <w:sz w:val="18"/>
                <w:szCs w:val="18"/>
              </w:rPr>
            </w:pPr>
            <w:r>
              <w:rPr>
                <w:rFonts w:hint="eastAsia"/>
                <w:kern w:val="0"/>
                <w:sz w:val="18"/>
                <w:szCs w:val="18"/>
              </w:rPr>
              <w:t>输入接口：HDMI × 1, DVI × 1, VGA × 1, CVBS × 1, USB × 1</w:t>
            </w:r>
          </w:p>
          <w:p>
            <w:pPr>
              <w:widowControl/>
              <w:rPr>
                <w:kern w:val="0"/>
                <w:sz w:val="18"/>
                <w:szCs w:val="18"/>
              </w:rPr>
            </w:pPr>
            <w:r>
              <w:rPr>
                <w:rFonts w:hint="eastAsia"/>
                <w:kern w:val="0"/>
                <w:sz w:val="18"/>
                <w:szCs w:val="18"/>
              </w:rPr>
              <w:t>输出接口：HDMI × 1, VGA × 1, CVBS × 1</w:t>
            </w:r>
          </w:p>
          <w:p>
            <w:pPr>
              <w:widowControl/>
              <w:rPr>
                <w:kern w:val="0"/>
                <w:sz w:val="18"/>
                <w:szCs w:val="18"/>
              </w:rPr>
            </w:pPr>
            <w:r>
              <w:rPr>
                <w:rFonts w:hint="eastAsia"/>
                <w:kern w:val="0"/>
                <w:sz w:val="18"/>
                <w:szCs w:val="18"/>
              </w:rPr>
              <w:t>控制接口：RS232 IN × 1, RS232 OUT × 1</w:t>
            </w:r>
          </w:p>
          <w:p>
            <w:pPr>
              <w:widowControl/>
              <w:rPr>
                <w:rFonts w:ascii="Arial" w:hAnsi="Arial" w:cs="Arial"/>
                <w:kern w:val="0"/>
                <w:sz w:val="18"/>
                <w:szCs w:val="18"/>
              </w:rPr>
            </w:pPr>
            <w:r>
              <w:rPr>
                <w:rFonts w:hint="eastAsia"/>
                <w:kern w:val="0"/>
                <w:sz w:val="18"/>
                <w:szCs w:val="18"/>
              </w:rPr>
              <w:t>功耗：≤ 160 W；</w:t>
            </w:r>
          </w:p>
        </w:tc>
        <w:tc>
          <w:tcPr>
            <w:tcW w:w="739" w:type="dxa"/>
            <w:tcBorders>
              <w:top w:val="nil"/>
              <w:left w:val="nil"/>
              <w:bottom w:val="single" w:color="auto" w:sz="4" w:space="0"/>
              <w:right w:val="single" w:color="auto" w:sz="4" w:space="0"/>
            </w:tcBorders>
            <w:vAlign w:val="center"/>
          </w:tcPr>
          <w:p>
            <w:pPr>
              <w:widowControl/>
              <w:ind w:firstLine="360" w:firstLineChars="200"/>
              <w:rPr>
                <w:rFonts w:ascii="Arial" w:hAnsi="Arial" w:cs="Arial"/>
                <w:kern w:val="0"/>
                <w:sz w:val="18"/>
                <w:szCs w:val="18"/>
              </w:rPr>
            </w:pPr>
            <w:r>
              <w:rPr>
                <w:rFonts w:hint="eastAsia" w:ascii="宋体" w:hAnsi="宋体" w:cs="宋体"/>
                <w:kern w:val="0"/>
                <w:sz w:val="18"/>
                <w:szCs w:val="18"/>
              </w:rPr>
              <w:t>15</w:t>
            </w:r>
          </w:p>
        </w:tc>
        <w:tc>
          <w:tcPr>
            <w:tcW w:w="623"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 xml:space="preserve">  台</w:t>
            </w:r>
          </w:p>
        </w:tc>
        <w:tc>
          <w:tcPr>
            <w:tcW w:w="1136"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85" w:hRule="atLeast"/>
        </w:trPr>
        <w:tc>
          <w:tcPr>
            <w:tcW w:w="550"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2</w:t>
            </w:r>
          </w:p>
        </w:tc>
        <w:tc>
          <w:tcPr>
            <w:tcW w:w="2252" w:type="dxa"/>
            <w:tcBorders>
              <w:top w:val="nil"/>
              <w:left w:val="nil"/>
              <w:bottom w:val="single" w:color="auto" w:sz="4" w:space="0"/>
              <w:right w:val="single" w:color="auto" w:sz="4" w:space="0"/>
            </w:tcBorders>
            <w:vAlign w:val="center"/>
          </w:tcPr>
          <w:p>
            <w:pPr>
              <w:widowControl/>
              <w:jc w:val="left"/>
              <w:rPr>
                <w:sz w:val="18"/>
                <w:szCs w:val="18"/>
              </w:rPr>
            </w:pPr>
            <w:r>
              <w:rPr>
                <w:rFonts w:hint="eastAsia"/>
                <w:sz w:val="18"/>
                <w:szCs w:val="18"/>
              </w:rPr>
              <w:t>LCD壁挂支架</w:t>
            </w:r>
          </w:p>
        </w:tc>
        <w:tc>
          <w:tcPr>
            <w:tcW w:w="4356" w:type="dxa"/>
            <w:tcBorders>
              <w:top w:val="nil"/>
              <w:left w:val="nil"/>
              <w:bottom w:val="single" w:color="auto" w:sz="4" w:space="0"/>
              <w:right w:val="single" w:color="auto" w:sz="4" w:space="0"/>
            </w:tcBorders>
            <w:vAlign w:val="center"/>
          </w:tcPr>
          <w:p>
            <w:pPr>
              <w:widowControl/>
              <w:rPr>
                <w:kern w:val="0"/>
                <w:sz w:val="18"/>
                <w:szCs w:val="18"/>
              </w:rPr>
            </w:pPr>
            <w:r>
              <w:rPr>
                <w:rFonts w:hint="eastAsia"/>
                <w:kern w:val="0"/>
                <w:sz w:val="18"/>
                <w:szCs w:val="18"/>
              </w:rPr>
              <w:t>配套</w:t>
            </w:r>
          </w:p>
        </w:tc>
        <w:tc>
          <w:tcPr>
            <w:tcW w:w="739" w:type="dxa"/>
            <w:tcBorders>
              <w:top w:val="nil"/>
              <w:left w:val="nil"/>
              <w:bottom w:val="single" w:color="auto" w:sz="4" w:space="0"/>
              <w:right w:val="single" w:color="auto" w:sz="4" w:space="0"/>
            </w:tcBorders>
            <w:vAlign w:val="center"/>
          </w:tcPr>
          <w:p>
            <w:pPr>
              <w:widowControl/>
              <w:ind w:firstLine="360" w:firstLineChars="200"/>
              <w:rPr>
                <w:rFonts w:ascii="宋体" w:hAnsi="宋体" w:cs="宋体"/>
                <w:kern w:val="0"/>
                <w:sz w:val="18"/>
                <w:szCs w:val="18"/>
              </w:rPr>
            </w:pPr>
            <w:r>
              <w:rPr>
                <w:rFonts w:hint="eastAsia" w:ascii="宋体" w:hAnsi="宋体" w:cs="宋体"/>
                <w:kern w:val="0"/>
                <w:sz w:val="18"/>
                <w:szCs w:val="18"/>
              </w:rPr>
              <w:t>1</w:t>
            </w:r>
          </w:p>
        </w:tc>
        <w:tc>
          <w:tcPr>
            <w:tcW w:w="623"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套</w:t>
            </w:r>
          </w:p>
        </w:tc>
        <w:tc>
          <w:tcPr>
            <w:tcW w:w="1136"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510" w:hRule="atLeast"/>
        </w:trPr>
        <w:tc>
          <w:tcPr>
            <w:tcW w:w="550"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3</w:t>
            </w:r>
          </w:p>
        </w:tc>
        <w:tc>
          <w:tcPr>
            <w:tcW w:w="2252" w:type="dxa"/>
            <w:tcBorders>
              <w:top w:val="nil"/>
              <w:left w:val="nil"/>
              <w:bottom w:val="single" w:color="auto" w:sz="4" w:space="0"/>
              <w:right w:val="single" w:color="auto" w:sz="4" w:space="0"/>
            </w:tcBorders>
            <w:vAlign w:val="center"/>
          </w:tcPr>
          <w:p>
            <w:pPr>
              <w:widowControl/>
              <w:jc w:val="left"/>
              <w:rPr>
                <w:sz w:val="18"/>
                <w:szCs w:val="18"/>
              </w:rPr>
            </w:pPr>
            <w:r>
              <w:rPr>
                <w:rFonts w:hint="eastAsia"/>
                <w:sz w:val="18"/>
                <w:szCs w:val="18"/>
              </w:rPr>
              <w:t>高清解码器</w:t>
            </w:r>
          </w:p>
        </w:tc>
        <w:tc>
          <w:tcPr>
            <w:tcW w:w="4356" w:type="dxa"/>
            <w:tcBorders>
              <w:top w:val="nil"/>
              <w:left w:val="nil"/>
              <w:bottom w:val="single" w:color="auto" w:sz="4" w:space="0"/>
              <w:right w:val="single" w:color="auto" w:sz="4" w:space="0"/>
            </w:tcBorders>
            <w:vAlign w:val="center"/>
          </w:tcPr>
          <w:p>
            <w:pPr>
              <w:widowControl/>
              <w:rPr>
                <w:kern w:val="0"/>
                <w:sz w:val="18"/>
                <w:szCs w:val="18"/>
              </w:rPr>
            </w:pPr>
            <w:r>
              <w:rPr>
                <w:rFonts w:hint="eastAsia"/>
                <w:kern w:val="0"/>
                <w:sz w:val="18"/>
                <w:szCs w:val="18"/>
              </w:rPr>
              <w:t>输入接口：支持一路VGA和一路DVI接入</w:t>
            </w:r>
          </w:p>
          <w:p>
            <w:pPr>
              <w:widowControl/>
              <w:rPr>
                <w:kern w:val="0"/>
                <w:sz w:val="18"/>
                <w:szCs w:val="18"/>
              </w:rPr>
            </w:pPr>
            <w:r>
              <w:rPr>
                <w:rFonts w:hint="eastAsia"/>
                <w:kern w:val="0"/>
                <w:sz w:val="18"/>
                <w:szCs w:val="18"/>
              </w:rPr>
              <w:t>输出接口：支持16路HDMI和8路BNC输出，HDMI（可以转DVI-D）（奇数口）输出分辨率最高支持4K（3840*2160@30HZ）编码格式：支持H.265、H.264、MPEG4、MJPEG等主流的编码格式；封装格式：支持PS、RTP、TS、ES等主流的封装格式；音频解码：支持G.722、G.711A、G.726、G.711U、MPEG2-L2、AAC音频格式的解码；解码能力：支持16路1200W，或32路800W，或48路500W，或80路300W，或128路1080P及以下分辨率同时实时解码；画面分割：支持1、2、4、6、8、9、10、12、16、25、36画面分割显示。</w:t>
            </w:r>
          </w:p>
        </w:tc>
        <w:tc>
          <w:tcPr>
            <w:tcW w:w="739" w:type="dxa"/>
            <w:tcBorders>
              <w:top w:val="nil"/>
              <w:left w:val="nil"/>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宋体" w:hAnsi="宋体" w:cs="宋体"/>
                <w:kern w:val="0"/>
                <w:sz w:val="18"/>
                <w:szCs w:val="18"/>
              </w:rPr>
              <w:t>1</w:t>
            </w:r>
          </w:p>
        </w:tc>
        <w:tc>
          <w:tcPr>
            <w:tcW w:w="623"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台</w:t>
            </w:r>
          </w:p>
        </w:tc>
        <w:tc>
          <w:tcPr>
            <w:tcW w:w="1136"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85" w:hRule="atLeast"/>
        </w:trPr>
        <w:tc>
          <w:tcPr>
            <w:tcW w:w="550"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4</w:t>
            </w:r>
          </w:p>
        </w:tc>
        <w:tc>
          <w:tcPr>
            <w:tcW w:w="2252" w:type="dxa"/>
            <w:tcBorders>
              <w:top w:val="nil"/>
              <w:left w:val="nil"/>
              <w:bottom w:val="single" w:color="auto" w:sz="4" w:space="0"/>
              <w:right w:val="single" w:color="auto" w:sz="4" w:space="0"/>
            </w:tcBorders>
            <w:vAlign w:val="center"/>
          </w:tcPr>
          <w:p>
            <w:pPr>
              <w:pStyle w:val="5"/>
              <w:numPr>
                <w:ilvl w:val="2"/>
                <w:numId w:val="0"/>
              </w:numPr>
              <w:spacing w:before="312" w:beforeLines="100" w:after="156"/>
              <w:jc w:val="left"/>
              <w:rPr>
                <w:sz w:val="18"/>
                <w:szCs w:val="18"/>
              </w:rPr>
            </w:pPr>
            <w:r>
              <w:rPr>
                <w:rFonts w:hint="eastAsia" w:ascii="Times New Roman"/>
                <w:bCs w:val="0"/>
                <w:kern w:val="2"/>
                <w:sz w:val="18"/>
                <w:szCs w:val="18"/>
              </w:rPr>
              <w:t>400万变焦高清网络筒机</w:t>
            </w:r>
          </w:p>
        </w:tc>
        <w:tc>
          <w:tcPr>
            <w:tcW w:w="4356" w:type="dxa"/>
            <w:tcBorders>
              <w:top w:val="nil"/>
              <w:left w:val="nil"/>
              <w:bottom w:val="single" w:color="auto" w:sz="4" w:space="0"/>
              <w:right w:val="single" w:color="auto" w:sz="4" w:space="0"/>
            </w:tcBorders>
            <w:vAlign w:val="center"/>
          </w:tcPr>
          <w:p>
            <w:pPr>
              <w:widowControl/>
              <w:rPr>
                <w:kern w:val="0"/>
                <w:sz w:val="18"/>
                <w:szCs w:val="18"/>
              </w:rPr>
            </w:pPr>
            <w:r>
              <w:rPr>
                <w:rFonts w:hint="eastAsia"/>
                <w:kern w:val="0"/>
                <w:sz w:val="18"/>
                <w:szCs w:val="18"/>
              </w:rPr>
              <w:t>400万1/3"CMOS 智能变焦筒型网络摄像机</w:t>
            </w:r>
            <w:r>
              <w:rPr>
                <w:kern w:val="0"/>
                <w:sz w:val="18"/>
                <w:szCs w:val="18"/>
              </w:rPr>
              <w:t>；</w:t>
            </w:r>
            <w:r>
              <w:rPr>
                <w:rFonts w:hint="eastAsia"/>
                <w:kern w:val="0"/>
                <w:sz w:val="18"/>
                <w:szCs w:val="18"/>
              </w:rPr>
              <w:t>采用深度学习硬件及算法，提供精准的人车分类侦测，支持越界侦测，区域入侵侦测，进入区域侦测和离开区域侦测</w:t>
            </w:r>
            <w:r>
              <w:rPr>
                <w:kern w:val="0"/>
                <w:sz w:val="18"/>
                <w:szCs w:val="18"/>
              </w:rPr>
              <w:t>；</w:t>
            </w:r>
            <w:r>
              <w:rPr>
                <w:rFonts w:hint="eastAsia"/>
                <w:kern w:val="0"/>
                <w:sz w:val="18"/>
                <w:szCs w:val="18"/>
              </w:rPr>
              <w:t>支持对运动人脸进行检测，跟踪，抓拍，评分，筛选，输出最优的人脸抓图</w:t>
            </w:r>
            <w:r>
              <w:rPr>
                <w:kern w:val="0"/>
                <w:sz w:val="18"/>
                <w:szCs w:val="18"/>
              </w:rPr>
              <w:t>；</w:t>
            </w:r>
            <w:r>
              <w:rPr>
                <w:rFonts w:hint="eastAsia"/>
                <w:kern w:val="0"/>
                <w:sz w:val="18"/>
                <w:szCs w:val="18"/>
              </w:rPr>
              <w:t>最低照度: 彩色：0.005 Lux @（F1.2，AGC ON），0 Lux with IR</w:t>
            </w:r>
            <w:r>
              <w:rPr>
                <w:kern w:val="0"/>
                <w:sz w:val="18"/>
                <w:szCs w:val="18"/>
              </w:rPr>
              <w:t>；</w:t>
            </w:r>
            <w:r>
              <w:rPr>
                <w:rFonts w:hint="eastAsia"/>
                <w:kern w:val="0"/>
                <w:sz w:val="18"/>
                <w:szCs w:val="18"/>
              </w:rPr>
              <w:t>焦距&amp;视场角: 2.7~12 mm，水平视场角：106°~36°，垂直视场角：57°~20°，对角视场角：125°~41°；补光灯类型: 智能补光，可切换白光灯、红外灯</w:t>
            </w:r>
            <w:r>
              <w:rPr>
                <w:kern w:val="0"/>
                <w:sz w:val="18"/>
                <w:szCs w:val="18"/>
              </w:rPr>
              <w:t>；</w:t>
            </w:r>
            <w:r>
              <w:rPr>
                <w:rFonts w:hint="eastAsia"/>
                <w:kern w:val="0"/>
                <w:sz w:val="18"/>
                <w:szCs w:val="18"/>
              </w:rPr>
              <w:t>补光距离: 红外光：最远可达50 m；白光：最远可达30 m</w:t>
            </w:r>
            <w:r>
              <w:rPr>
                <w:kern w:val="0"/>
                <w:sz w:val="18"/>
                <w:szCs w:val="18"/>
              </w:rPr>
              <w:t>；</w:t>
            </w:r>
            <w:r>
              <w:rPr>
                <w:rFonts w:hint="eastAsia"/>
                <w:kern w:val="0"/>
                <w:sz w:val="18"/>
                <w:szCs w:val="18"/>
              </w:rPr>
              <w:t>置扬声器；含安装支架</w:t>
            </w:r>
          </w:p>
        </w:tc>
        <w:tc>
          <w:tcPr>
            <w:tcW w:w="739" w:type="dxa"/>
            <w:tcBorders>
              <w:top w:val="nil"/>
              <w:left w:val="nil"/>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宋体" w:hAnsi="宋体" w:cs="宋体"/>
                <w:kern w:val="0"/>
                <w:sz w:val="18"/>
                <w:szCs w:val="18"/>
              </w:rPr>
              <w:t>120</w:t>
            </w:r>
          </w:p>
        </w:tc>
        <w:tc>
          <w:tcPr>
            <w:tcW w:w="623"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台</w:t>
            </w:r>
          </w:p>
        </w:tc>
        <w:tc>
          <w:tcPr>
            <w:tcW w:w="1136"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85" w:hRule="atLeast"/>
        </w:trPr>
        <w:tc>
          <w:tcPr>
            <w:tcW w:w="550"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5</w:t>
            </w:r>
          </w:p>
        </w:tc>
        <w:tc>
          <w:tcPr>
            <w:tcW w:w="2252" w:type="dxa"/>
            <w:tcBorders>
              <w:top w:val="nil"/>
              <w:left w:val="nil"/>
              <w:bottom w:val="single" w:color="auto" w:sz="4" w:space="0"/>
              <w:right w:val="single" w:color="auto" w:sz="4" w:space="0"/>
            </w:tcBorders>
            <w:noWrap/>
            <w:vAlign w:val="center"/>
          </w:tcPr>
          <w:p>
            <w:pPr>
              <w:widowControl/>
              <w:jc w:val="left"/>
              <w:rPr>
                <w:sz w:val="18"/>
                <w:szCs w:val="18"/>
              </w:rPr>
            </w:pPr>
            <w:r>
              <w:rPr>
                <w:rFonts w:hint="eastAsia"/>
                <w:sz w:val="18"/>
                <w:szCs w:val="18"/>
              </w:rPr>
              <w:t>矿用隔爆兼本安型摄像机</w:t>
            </w:r>
          </w:p>
        </w:tc>
        <w:tc>
          <w:tcPr>
            <w:tcW w:w="4356"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400万像素，红外高清，2光3电，含安装支架</w:t>
            </w:r>
          </w:p>
        </w:tc>
        <w:tc>
          <w:tcPr>
            <w:tcW w:w="739"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60</w:t>
            </w:r>
          </w:p>
        </w:tc>
        <w:tc>
          <w:tcPr>
            <w:tcW w:w="623"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台</w:t>
            </w:r>
          </w:p>
        </w:tc>
        <w:tc>
          <w:tcPr>
            <w:tcW w:w="1136"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85" w:hRule="atLeast"/>
        </w:trPr>
        <w:tc>
          <w:tcPr>
            <w:tcW w:w="550"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6</w:t>
            </w:r>
          </w:p>
        </w:tc>
        <w:tc>
          <w:tcPr>
            <w:tcW w:w="2252" w:type="dxa"/>
            <w:tcBorders>
              <w:top w:val="nil"/>
              <w:left w:val="nil"/>
              <w:bottom w:val="single" w:color="auto" w:sz="4" w:space="0"/>
              <w:right w:val="single" w:color="auto" w:sz="4" w:space="0"/>
            </w:tcBorders>
            <w:noWrap/>
            <w:vAlign w:val="center"/>
          </w:tcPr>
          <w:p>
            <w:pPr>
              <w:widowControl/>
              <w:jc w:val="left"/>
              <w:rPr>
                <w:sz w:val="18"/>
                <w:szCs w:val="18"/>
              </w:rPr>
            </w:pPr>
            <w:r>
              <w:rPr>
                <w:rFonts w:hint="eastAsia"/>
                <w:sz w:val="18"/>
                <w:szCs w:val="18"/>
              </w:rPr>
              <w:t>400万高清网络球机</w:t>
            </w:r>
          </w:p>
        </w:tc>
        <w:tc>
          <w:tcPr>
            <w:tcW w:w="4356"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400万像素7寸23倍全彩轻智能网络高清球机</w:t>
            </w:r>
            <w:r>
              <w:rPr>
                <w:rFonts w:ascii="宋体" w:hAnsi="宋体" w:cs="宋体"/>
                <w:color w:val="000000"/>
                <w:kern w:val="0"/>
                <w:sz w:val="18"/>
                <w:szCs w:val="18"/>
              </w:rPr>
              <w:t>；</w:t>
            </w:r>
            <w:r>
              <w:rPr>
                <w:rFonts w:hint="eastAsia" w:ascii="宋体" w:hAnsi="宋体" w:cs="宋体"/>
                <w:color w:val="000000"/>
                <w:kern w:val="0"/>
                <w:sz w:val="18"/>
                <w:szCs w:val="18"/>
              </w:rPr>
              <w:t>支持区域入侵侦测，越界侦测，进入区域侦测和离开区域侦测等智能侦测并联动跟踪</w:t>
            </w:r>
            <w:r>
              <w:rPr>
                <w:rFonts w:ascii="宋体" w:hAnsi="宋体" w:cs="宋体"/>
                <w:color w:val="000000"/>
                <w:kern w:val="0"/>
                <w:sz w:val="18"/>
                <w:szCs w:val="18"/>
              </w:rPr>
              <w:t>；</w:t>
            </w:r>
            <w:r>
              <w:rPr>
                <w:rFonts w:hint="eastAsia" w:ascii="宋体" w:hAnsi="宋体" w:cs="宋体"/>
                <w:color w:val="000000"/>
                <w:kern w:val="0"/>
                <w:sz w:val="18"/>
                <w:szCs w:val="18"/>
              </w:rPr>
              <w:t>支持切换为人脸抓拍模式，最大同时抓拍5张人脸</w:t>
            </w:r>
            <w:r>
              <w:rPr>
                <w:rFonts w:ascii="宋体" w:hAnsi="宋体" w:cs="宋体"/>
                <w:color w:val="000000"/>
                <w:kern w:val="0"/>
                <w:sz w:val="18"/>
                <w:szCs w:val="18"/>
              </w:rPr>
              <w:t>；</w:t>
            </w:r>
            <w:r>
              <w:rPr>
                <w:rFonts w:hint="eastAsia" w:ascii="宋体" w:hAnsi="宋体" w:cs="宋体"/>
                <w:color w:val="000000"/>
                <w:kern w:val="0"/>
                <w:sz w:val="18"/>
                <w:szCs w:val="18"/>
              </w:rPr>
              <w:t>采用可见光补光30 m，同时高效红外阵列，低功耗，照射距离最远可达150 m</w:t>
            </w:r>
            <w:r>
              <w:rPr>
                <w:rFonts w:ascii="宋体" w:hAnsi="宋体" w:cs="宋体"/>
                <w:color w:val="000000"/>
                <w:kern w:val="0"/>
                <w:sz w:val="18"/>
                <w:szCs w:val="18"/>
              </w:rPr>
              <w:t>；</w:t>
            </w:r>
            <w:r>
              <w:rPr>
                <w:rFonts w:hint="eastAsia" w:ascii="宋体" w:hAnsi="宋体" w:cs="宋体"/>
                <w:color w:val="000000"/>
                <w:kern w:val="0"/>
                <w:sz w:val="18"/>
                <w:szCs w:val="18"/>
              </w:rPr>
              <w:t>内置加热玻璃，有效除雾</w:t>
            </w:r>
            <w:r>
              <w:rPr>
                <w:rFonts w:ascii="宋体" w:hAnsi="宋体" w:cs="宋体"/>
                <w:color w:val="000000"/>
                <w:kern w:val="0"/>
                <w:sz w:val="18"/>
                <w:szCs w:val="18"/>
              </w:rPr>
              <w:t>；</w:t>
            </w:r>
            <w:r>
              <w:rPr>
                <w:rFonts w:hint="eastAsia" w:ascii="宋体" w:hAnsi="宋体" w:cs="宋体"/>
                <w:color w:val="000000"/>
                <w:kern w:val="0"/>
                <w:sz w:val="18"/>
                <w:szCs w:val="18"/>
              </w:rPr>
              <w:t>传感器类型: 1/2.8＂progressive scan CMOS</w:t>
            </w:r>
            <w:r>
              <w:rPr>
                <w:rFonts w:ascii="宋体" w:hAnsi="宋体" w:cs="宋体"/>
                <w:color w:val="000000"/>
                <w:kern w:val="0"/>
                <w:sz w:val="18"/>
                <w:szCs w:val="18"/>
              </w:rPr>
              <w:t>；</w:t>
            </w:r>
            <w:r>
              <w:rPr>
                <w:rFonts w:hint="eastAsia" w:ascii="宋体" w:hAnsi="宋体" w:cs="宋体"/>
                <w:color w:val="000000"/>
                <w:kern w:val="0"/>
                <w:sz w:val="18"/>
                <w:szCs w:val="18"/>
              </w:rPr>
              <w:t>最低照度: 彩色：0.005 Lux @（F1.5，AGC ON）；黑白：0.001 Lux @（F1.5，AGC ON）；0 Lux with IR</w:t>
            </w:r>
            <w:r>
              <w:rPr>
                <w:rFonts w:ascii="宋体" w:hAnsi="宋体" w:cs="宋体"/>
                <w:color w:val="000000"/>
                <w:kern w:val="0"/>
                <w:sz w:val="18"/>
                <w:szCs w:val="18"/>
              </w:rPr>
              <w:t>；</w:t>
            </w:r>
            <w:r>
              <w:rPr>
                <w:rFonts w:hint="eastAsia" w:ascii="宋体" w:hAnsi="宋体" w:cs="宋体"/>
                <w:color w:val="000000"/>
                <w:kern w:val="0"/>
                <w:sz w:val="18"/>
                <w:szCs w:val="18"/>
              </w:rPr>
              <w:t>宽动态: 120 dB超宽动态</w:t>
            </w:r>
            <w:r>
              <w:rPr>
                <w:rFonts w:ascii="宋体" w:hAnsi="宋体" w:cs="宋体"/>
                <w:color w:val="000000"/>
                <w:kern w:val="0"/>
                <w:sz w:val="18"/>
                <w:szCs w:val="18"/>
              </w:rPr>
              <w:t>；</w:t>
            </w:r>
            <w:r>
              <w:rPr>
                <w:rFonts w:hint="eastAsia" w:ascii="宋体" w:hAnsi="宋体" w:cs="宋体"/>
                <w:color w:val="000000"/>
                <w:kern w:val="0"/>
                <w:sz w:val="18"/>
                <w:szCs w:val="18"/>
              </w:rPr>
              <w:t>焦距: 5.9 mm~135.7 mm，23倍光学变倍</w:t>
            </w:r>
            <w:r>
              <w:rPr>
                <w:rFonts w:ascii="宋体" w:hAnsi="宋体" w:cs="宋体"/>
                <w:color w:val="000000"/>
                <w:kern w:val="0"/>
                <w:sz w:val="18"/>
                <w:szCs w:val="18"/>
              </w:rPr>
              <w:t>；</w:t>
            </w:r>
            <w:r>
              <w:rPr>
                <w:rFonts w:hint="eastAsia" w:ascii="宋体" w:hAnsi="宋体" w:cs="宋体"/>
                <w:color w:val="000000"/>
                <w:kern w:val="0"/>
                <w:sz w:val="18"/>
                <w:szCs w:val="18"/>
              </w:rPr>
              <w:t>视场角: 59.8°~3.3°（广角~望远）</w:t>
            </w:r>
            <w:r>
              <w:rPr>
                <w:rFonts w:ascii="宋体" w:hAnsi="宋体" w:cs="宋体"/>
                <w:color w:val="000000"/>
                <w:kern w:val="0"/>
                <w:sz w:val="18"/>
                <w:szCs w:val="18"/>
              </w:rPr>
              <w:t>；</w:t>
            </w:r>
            <w:r>
              <w:rPr>
                <w:rFonts w:hint="eastAsia" w:ascii="宋体" w:hAnsi="宋体" w:cs="宋体"/>
                <w:color w:val="000000"/>
                <w:kern w:val="0"/>
                <w:sz w:val="18"/>
                <w:szCs w:val="18"/>
              </w:rPr>
              <w:t>水平范围: 360°</w:t>
            </w:r>
            <w:r>
              <w:rPr>
                <w:rFonts w:ascii="宋体" w:hAnsi="宋体" w:cs="宋体"/>
                <w:color w:val="000000"/>
                <w:kern w:val="0"/>
                <w:sz w:val="18"/>
                <w:szCs w:val="18"/>
              </w:rPr>
              <w:t>；</w:t>
            </w:r>
            <w:r>
              <w:rPr>
                <w:rFonts w:hint="eastAsia" w:ascii="宋体" w:hAnsi="宋体" w:cs="宋体"/>
                <w:color w:val="000000"/>
                <w:kern w:val="0"/>
                <w:sz w:val="18"/>
                <w:szCs w:val="18"/>
              </w:rPr>
              <w:t>垂直范围: -15°~90°（自动翻转）</w:t>
            </w:r>
            <w:r>
              <w:rPr>
                <w:rFonts w:ascii="宋体" w:hAnsi="宋体" w:cs="宋体"/>
                <w:color w:val="000000"/>
                <w:kern w:val="0"/>
                <w:sz w:val="18"/>
                <w:szCs w:val="18"/>
              </w:rPr>
              <w:t>；</w:t>
            </w:r>
            <w:r>
              <w:rPr>
                <w:rFonts w:hint="eastAsia" w:ascii="宋体" w:hAnsi="宋体" w:cs="宋体"/>
                <w:color w:val="000000"/>
                <w:kern w:val="0"/>
                <w:sz w:val="18"/>
                <w:szCs w:val="18"/>
              </w:rPr>
              <w:t>水平速度: 水平键控速度：0.1°~160°/s，速度可设；水平预置点速度：240°/s</w:t>
            </w:r>
            <w:r>
              <w:rPr>
                <w:rFonts w:ascii="宋体" w:hAnsi="宋体" w:cs="宋体"/>
                <w:color w:val="000000"/>
                <w:kern w:val="0"/>
                <w:sz w:val="18"/>
                <w:szCs w:val="18"/>
              </w:rPr>
              <w:t>；</w:t>
            </w:r>
            <w:r>
              <w:rPr>
                <w:rFonts w:hint="eastAsia" w:ascii="宋体" w:hAnsi="宋体" w:cs="宋体"/>
                <w:color w:val="000000"/>
                <w:kern w:val="0"/>
                <w:sz w:val="18"/>
                <w:szCs w:val="18"/>
              </w:rPr>
              <w:t>垂直速度: 垂直键控速度：0.1°~120°/s，速度可设；垂直预置点速度：200°/s</w:t>
            </w:r>
            <w:r>
              <w:rPr>
                <w:rFonts w:ascii="宋体" w:hAnsi="宋体" w:cs="宋体"/>
                <w:color w:val="000000"/>
                <w:kern w:val="0"/>
                <w:sz w:val="18"/>
                <w:szCs w:val="18"/>
              </w:rPr>
              <w:t>；</w:t>
            </w:r>
            <w:r>
              <w:rPr>
                <w:rFonts w:hint="eastAsia" w:ascii="宋体" w:hAnsi="宋体" w:cs="宋体"/>
                <w:color w:val="000000"/>
                <w:kern w:val="0"/>
                <w:sz w:val="18"/>
                <w:szCs w:val="18"/>
              </w:rPr>
              <w:t>主码流帧率分辨率: 50 Hz：25 fps（2560 × 1440）；60 Hz：30 fps（2560 × 1440）；含安装支架</w:t>
            </w:r>
          </w:p>
        </w:tc>
        <w:tc>
          <w:tcPr>
            <w:tcW w:w="739"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highlight w:val="yellow"/>
              </w:rPr>
            </w:pPr>
            <w:r>
              <w:rPr>
                <w:rFonts w:hint="eastAsia" w:ascii="宋体" w:hAnsi="宋体" w:cs="宋体"/>
                <w:kern w:val="0"/>
                <w:sz w:val="18"/>
                <w:szCs w:val="18"/>
              </w:rPr>
              <w:t>20</w:t>
            </w:r>
          </w:p>
        </w:tc>
        <w:tc>
          <w:tcPr>
            <w:tcW w:w="623"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台</w:t>
            </w:r>
          </w:p>
        </w:tc>
        <w:tc>
          <w:tcPr>
            <w:tcW w:w="1136"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85" w:hRule="atLeast"/>
        </w:trPr>
        <w:tc>
          <w:tcPr>
            <w:tcW w:w="550"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7</w:t>
            </w:r>
          </w:p>
        </w:tc>
        <w:tc>
          <w:tcPr>
            <w:tcW w:w="2252" w:type="dxa"/>
            <w:tcBorders>
              <w:top w:val="nil"/>
              <w:left w:val="nil"/>
              <w:bottom w:val="single" w:color="auto" w:sz="4" w:space="0"/>
              <w:right w:val="single" w:color="auto" w:sz="4" w:space="0"/>
            </w:tcBorders>
            <w:noWrap/>
            <w:vAlign w:val="center"/>
          </w:tcPr>
          <w:p>
            <w:pPr>
              <w:widowControl/>
              <w:jc w:val="left"/>
              <w:rPr>
                <w:sz w:val="18"/>
                <w:szCs w:val="18"/>
              </w:rPr>
            </w:pPr>
            <w:r>
              <w:rPr>
                <w:rFonts w:hint="eastAsia"/>
                <w:sz w:val="18"/>
                <w:szCs w:val="18"/>
              </w:rPr>
              <w:t>2400万智能球型全景摄像机</w:t>
            </w:r>
          </w:p>
        </w:tc>
        <w:tc>
          <w:tcPr>
            <w:tcW w:w="4356"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2400万270°四代蓝宝石AR球型鹰眼</w:t>
            </w:r>
          </w:p>
          <w:p>
            <w:pPr>
              <w:widowControl/>
              <w:rPr>
                <w:rFonts w:ascii="宋体" w:hAnsi="宋体" w:cs="宋体"/>
                <w:color w:val="000000"/>
                <w:kern w:val="0"/>
                <w:sz w:val="18"/>
                <w:szCs w:val="18"/>
              </w:rPr>
            </w:pPr>
            <w:r>
              <w:rPr>
                <w:rFonts w:hint="eastAsia" w:ascii="宋体" w:hAnsi="宋体" w:cs="宋体"/>
                <w:color w:val="000000"/>
                <w:kern w:val="0"/>
                <w:sz w:val="18"/>
                <w:szCs w:val="18"/>
              </w:rPr>
              <w:t>星光级全景网络高清智能球机，采用一体化设计，单产品即可同时提供全景与特写画面，兼顾全景与细节。其中全景画面由6个传感器拼接而成，实现270度的全景监控，全景画面可支持关注区域畸变矫正；一体化机芯和高速云台设计，在全景监控的同时为用户提供快速细节定位功能。另外鹰眼系列全景球机还集成了先进的视频分析算法和多目标跟踪算法程序，可实现自动或手动对全景区域内的多个目标进行区域入侵、越界、进入区域、离开区域行为的检测，并可输出报警信号和联动云台跟踪，从而满足高等级要求的安保需求</w:t>
            </w:r>
          </w:p>
          <w:p>
            <w:pPr>
              <w:widowControl/>
              <w:rPr>
                <w:rFonts w:ascii="宋体" w:hAnsi="宋体" w:cs="宋体"/>
                <w:color w:val="000000"/>
                <w:kern w:val="0"/>
                <w:sz w:val="18"/>
                <w:szCs w:val="18"/>
              </w:rPr>
            </w:pPr>
            <w:r>
              <w:rPr>
                <w:rFonts w:hint="eastAsia" w:ascii="宋体" w:hAnsi="宋体" w:cs="宋体"/>
                <w:color w:val="000000"/>
                <w:kern w:val="0"/>
                <w:sz w:val="18"/>
                <w:szCs w:val="18"/>
              </w:rPr>
              <w:t>支持GB35114安全加密</w:t>
            </w:r>
          </w:p>
          <w:p>
            <w:pPr>
              <w:widowControl/>
              <w:rPr>
                <w:rFonts w:ascii="宋体" w:hAnsi="宋体" w:cs="宋体"/>
                <w:color w:val="000000"/>
                <w:kern w:val="0"/>
                <w:sz w:val="18"/>
                <w:szCs w:val="18"/>
              </w:rPr>
            </w:pPr>
            <w:r>
              <w:rPr>
                <w:rFonts w:hint="eastAsia" w:ascii="宋体" w:hAnsi="宋体" w:cs="宋体"/>
                <w:color w:val="000000"/>
                <w:kern w:val="0"/>
                <w:sz w:val="18"/>
                <w:szCs w:val="18"/>
              </w:rPr>
              <w:t>内置GPS、北斗卫星定位模块和电子罗盘，支持将视场角、镜头指向、安装位置经纬度等信息上传中心管理平台</w:t>
            </w:r>
          </w:p>
          <w:p>
            <w:pPr>
              <w:widowControl/>
              <w:rPr>
                <w:rFonts w:ascii="宋体" w:hAnsi="宋体" w:cs="宋体"/>
                <w:color w:val="000000"/>
                <w:kern w:val="0"/>
                <w:sz w:val="18"/>
                <w:szCs w:val="18"/>
              </w:rPr>
            </w:pPr>
            <w:r>
              <w:rPr>
                <w:rFonts w:hint="eastAsia" w:ascii="宋体" w:hAnsi="宋体" w:cs="宋体"/>
                <w:color w:val="000000"/>
                <w:kern w:val="0"/>
                <w:sz w:val="18"/>
                <w:szCs w:val="18"/>
              </w:rPr>
              <w:t>可获取并解析卫星信号中的时间信息以实现高精度自动校时功能</w:t>
            </w:r>
          </w:p>
        </w:tc>
        <w:tc>
          <w:tcPr>
            <w:tcW w:w="739"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623"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台</w:t>
            </w:r>
          </w:p>
        </w:tc>
        <w:tc>
          <w:tcPr>
            <w:tcW w:w="1136"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85" w:hRule="atLeast"/>
        </w:trPr>
        <w:tc>
          <w:tcPr>
            <w:tcW w:w="550"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8</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光纤收发器</w:t>
            </w:r>
          </w:p>
        </w:tc>
        <w:tc>
          <w:tcPr>
            <w:tcW w:w="4356"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单模单芯，地面用，含配套电源</w:t>
            </w:r>
          </w:p>
        </w:tc>
        <w:tc>
          <w:tcPr>
            <w:tcW w:w="739"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623"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对</w:t>
            </w:r>
          </w:p>
        </w:tc>
        <w:tc>
          <w:tcPr>
            <w:tcW w:w="1136"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85" w:hRule="atLeast"/>
        </w:trPr>
        <w:tc>
          <w:tcPr>
            <w:tcW w:w="550"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9</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矿用本安型千兆交换机</w:t>
            </w:r>
          </w:p>
        </w:tc>
        <w:tc>
          <w:tcPr>
            <w:tcW w:w="4356"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KJJ18, DC18V供电，3千兆RJ45，6百兆光口（单模单芯）需提供相关煤安证书</w:t>
            </w:r>
          </w:p>
        </w:tc>
        <w:tc>
          <w:tcPr>
            <w:tcW w:w="739"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623"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台</w:t>
            </w:r>
          </w:p>
        </w:tc>
        <w:tc>
          <w:tcPr>
            <w:tcW w:w="1136"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85" w:hRule="atLeast"/>
        </w:trPr>
        <w:tc>
          <w:tcPr>
            <w:tcW w:w="550"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10</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矿用隔爆兼本安型电源</w:t>
            </w:r>
          </w:p>
        </w:tc>
        <w:tc>
          <w:tcPr>
            <w:tcW w:w="4356"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ascii="宋体" w:hAnsi="宋体" w:cs="宋体"/>
                <w:kern w:val="0"/>
                <w:sz w:val="18"/>
                <w:szCs w:val="18"/>
              </w:rPr>
              <w:t>KDW660-18B</w:t>
            </w:r>
            <w:r>
              <w:rPr>
                <w:rFonts w:hint="eastAsia" w:ascii="宋体" w:hAnsi="宋体" w:cs="宋体"/>
                <w:kern w:val="0"/>
                <w:sz w:val="18"/>
                <w:szCs w:val="18"/>
              </w:rPr>
              <w:t>需提供相关煤安证书</w:t>
            </w:r>
          </w:p>
        </w:tc>
        <w:tc>
          <w:tcPr>
            <w:tcW w:w="739"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623"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台</w:t>
            </w:r>
          </w:p>
        </w:tc>
        <w:tc>
          <w:tcPr>
            <w:tcW w:w="1136"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85" w:hRule="atLeast"/>
        </w:trPr>
        <w:tc>
          <w:tcPr>
            <w:tcW w:w="550"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11</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磁盘阵列</w:t>
            </w:r>
          </w:p>
        </w:tc>
        <w:tc>
          <w:tcPr>
            <w:tcW w:w="4356"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机架式，4U 24盘位，服务器架构，64位多核处理器，16GB缓存（可扩展至32GB)，高效冗余电源，4个千兆网口，含480TB企业级存储容量;支持视音频直存，1230Mbps接入带宽，VRAID2.0;网络协议：RTSP/ONVIF/PSIA/SIP（GB/T28181）</w:t>
            </w:r>
          </w:p>
        </w:tc>
        <w:tc>
          <w:tcPr>
            <w:tcW w:w="739"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623"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台</w:t>
            </w:r>
          </w:p>
        </w:tc>
        <w:tc>
          <w:tcPr>
            <w:tcW w:w="1136"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85" w:hRule="atLeast"/>
        </w:trPr>
        <w:tc>
          <w:tcPr>
            <w:tcW w:w="550"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12</w:t>
            </w:r>
          </w:p>
        </w:tc>
        <w:tc>
          <w:tcPr>
            <w:tcW w:w="2252" w:type="dxa"/>
            <w:tcBorders>
              <w:top w:val="nil"/>
              <w:left w:val="nil"/>
              <w:bottom w:val="single" w:color="auto" w:sz="4" w:space="0"/>
              <w:right w:val="single" w:color="auto" w:sz="4" w:space="0"/>
            </w:tcBorders>
            <w:vAlign w:val="center"/>
          </w:tcPr>
          <w:p>
            <w:pPr>
              <w:widowControl/>
              <w:jc w:val="left"/>
              <w:rPr>
                <w:sz w:val="18"/>
                <w:szCs w:val="18"/>
              </w:rPr>
            </w:pPr>
            <w:r>
              <w:rPr>
                <w:rFonts w:hint="eastAsia"/>
                <w:sz w:val="18"/>
                <w:szCs w:val="18"/>
              </w:rPr>
              <w:t>生产监管平台软件</w:t>
            </w:r>
          </w:p>
        </w:tc>
        <w:tc>
          <w:tcPr>
            <w:tcW w:w="4356"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sz w:val="18"/>
                <w:szCs w:val="18"/>
              </w:rPr>
              <w:t>实现安防系统的智能化应用及统一集成化管理。本次授权路数不低于500路。</w:t>
            </w:r>
          </w:p>
        </w:tc>
        <w:tc>
          <w:tcPr>
            <w:tcW w:w="739"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623"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套</w:t>
            </w:r>
          </w:p>
        </w:tc>
        <w:tc>
          <w:tcPr>
            <w:tcW w:w="1136"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85" w:hRule="atLeast"/>
        </w:trPr>
        <w:tc>
          <w:tcPr>
            <w:tcW w:w="550"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13</w:t>
            </w:r>
          </w:p>
        </w:tc>
        <w:tc>
          <w:tcPr>
            <w:tcW w:w="2252" w:type="dxa"/>
            <w:tcBorders>
              <w:top w:val="nil"/>
              <w:left w:val="nil"/>
              <w:bottom w:val="single" w:color="auto" w:sz="4" w:space="0"/>
              <w:right w:val="single" w:color="auto" w:sz="4" w:space="0"/>
            </w:tcBorders>
            <w:vAlign w:val="center"/>
          </w:tcPr>
          <w:p>
            <w:pPr>
              <w:widowControl/>
              <w:jc w:val="left"/>
              <w:rPr>
                <w:sz w:val="18"/>
                <w:szCs w:val="18"/>
              </w:rPr>
            </w:pPr>
            <w:r>
              <w:rPr>
                <w:rFonts w:hint="eastAsia"/>
                <w:sz w:val="18"/>
                <w:szCs w:val="18"/>
              </w:rPr>
              <w:t>平台服务器</w:t>
            </w:r>
          </w:p>
        </w:tc>
        <w:tc>
          <w:tcPr>
            <w:tcW w:w="4356" w:type="dxa"/>
            <w:tcBorders>
              <w:top w:val="nil"/>
              <w:left w:val="nil"/>
              <w:bottom w:val="single" w:color="auto" w:sz="4" w:space="0"/>
              <w:right w:val="single" w:color="auto" w:sz="4" w:space="0"/>
            </w:tcBorders>
            <w:vAlign w:val="center"/>
          </w:tcPr>
          <w:p>
            <w:pPr>
              <w:widowControl/>
            </w:pPr>
            <w:r>
              <w:rPr>
                <w:rFonts w:ascii="宋体" w:hAnsi="宋体" w:cs="宋体"/>
                <w:kern w:val="0"/>
                <w:sz w:val="18"/>
                <w:szCs w:val="18"/>
              </w:rPr>
              <w:t>4210×2/64G</w:t>
            </w:r>
            <w:r>
              <w:rPr>
                <w:rFonts w:hint="eastAsia" w:ascii="宋体" w:hAnsi="宋体" w:cs="宋体"/>
                <w:kern w:val="0"/>
                <w:sz w:val="18"/>
                <w:szCs w:val="18"/>
              </w:rPr>
              <w:t>\</w:t>
            </w:r>
            <w:r>
              <w:rPr>
                <w:rFonts w:ascii="宋体" w:hAnsi="宋体" w:cs="宋体"/>
                <w:kern w:val="0"/>
                <w:sz w:val="18"/>
                <w:szCs w:val="18"/>
              </w:rPr>
              <w:t>DDR4/600G</w:t>
            </w:r>
            <w:r>
              <w:rPr>
                <w:rFonts w:hint="eastAsia" w:ascii="宋体" w:hAnsi="宋体" w:cs="宋体"/>
                <w:kern w:val="0"/>
                <w:sz w:val="18"/>
                <w:szCs w:val="18"/>
              </w:rPr>
              <w:t>\</w:t>
            </w:r>
            <w:r>
              <w:rPr>
                <w:rFonts w:ascii="宋体" w:hAnsi="宋体" w:cs="宋体"/>
                <w:kern w:val="0"/>
                <w:sz w:val="18"/>
                <w:szCs w:val="18"/>
              </w:rPr>
              <w:t>10K</w:t>
            </w:r>
            <w:r>
              <w:rPr>
                <w:rFonts w:hint="eastAsia" w:ascii="宋体" w:hAnsi="宋体" w:cs="宋体"/>
                <w:kern w:val="0"/>
                <w:sz w:val="18"/>
                <w:szCs w:val="18"/>
              </w:rPr>
              <w:t>\</w:t>
            </w:r>
            <w:r>
              <w:rPr>
                <w:rFonts w:ascii="宋体" w:hAnsi="宋体" w:cs="宋体"/>
                <w:kern w:val="0"/>
                <w:sz w:val="18"/>
                <w:szCs w:val="18"/>
              </w:rPr>
              <w:t>SAS×4(RAID_1)/ SAS_HBA/1GbE×2+10GbE×2/550W(1+1)/2U/16DIMM；2U双路标准机架式服务器；CPU：2颗intel至强系列处理器，核数≥10核，主频≥2.2GHz；内存：64G DDR4，16根内存插槽，最大支持扩展至2TB内存；硬盘：4块600G 10K 2.5寸 SAS硬盘；阵列卡：SAS_HBA卡, 支持RAID 0/1/10；PCIE扩展：最大可支持6个PCIE扩展插槽；网口：2个千兆电口，2个万兆光口；其他接口：1个RJ45管理接口，后置2个USB 3.0接口，前置2个USB2.0接口，1个VGA接口</w:t>
            </w:r>
          </w:p>
        </w:tc>
        <w:tc>
          <w:tcPr>
            <w:tcW w:w="739" w:type="dxa"/>
            <w:tcBorders>
              <w:top w:val="nil"/>
              <w:left w:val="nil"/>
              <w:bottom w:val="single" w:color="auto" w:sz="4" w:space="0"/>
              <w:right w:val="single" w:color="auto" w:sz="4" w:space="0"/>
            </w:tcBorders>
            <w:vAlign w:val="center"/>
          </w:tcPr>
          <w:p>
            <w:pPr>
              <w:widowControl/>
              <w:ind w:firstLine="180" w:firstLineChars="100"/>
              <w:rPr>
                <w:rFonts w:ascii="Arial" w:hAnsi="Arial" w:cs="Arial"/>
                <w:kern w:val="0"/>
                <w:sz w:val="18"/>
                <w:szCs w:val="18"/>
              </w:rPr>
            </w:pPr>
            <w:r>
              <w:rPr>
                <w:rFonts w:hint="eastAsia" w:ascii="Arial" w:hAnsi="Arial" w:cs="Arial"/>
                <w:kern w:val="0"/>
                <w:sz w:val="18"/>
                <w:szCs w:val="18"/>
              </w:rPr>
              <w:t>1</w:t>
            </w:r>
          </w:p>
        </w:tc>
        <w:tc>
          <w:tcPr>
            <w:tcW w:w="623"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台</w:t>
            </w:r>
          </w:p>
        </w:tc>
        <w:tc>
          <w:tcPr>
            <w:tcW w:w="1136"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85" w:hRule="atLeast"/>
        </w:trPr>
        <w:tc>
          <w:tcPr>
            <w:tcW w:w="550"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14</w:t>
            </w:r>
          </w:p>
        </w:tc>
        <w:tc>
          <w:tcPr>
            <w:tcW w:w="2252" w:type="dxa"/>
            <w:tcBorders>
              <w:top w:val="nil"/>
              <w:left w:val="nil"/>
              <w:bottom w:val="single" w:color="auto" w:sz="4" w:space="0"/>
              <w:right w:val="single" w:color="auto" w:sz="4" w:space="0"/>
            </w:tcBorders>
            <w:vAlign w:val="center"/>
          </w:tcPr>
          <w:p>
            <w:pPr>
              <w:widowControl/>
              <w:jc w:val="left"/>
              <w:rPr>
                <w:sz w:val="18"/>
                <w:szCs w:val="18"/>
              </w:rPr>
            </w:pPr>
            <w:r>
              <w:rPr>
                <w:rFonts w:hint="eastAsia"/>
                <w:sz w:val="18"/>
                <w:szCs w:val="18"/>
              </w:rPr>
              <w:t>流媒体服务器</w:t>
            </w:r>
          </w:p>
        </w:tc>
        <w:tc>
          <w:tcPr>
            <w:tcW w:w="4356" w:type="dxa"/>
            <w:tcBorders>
              <w:top w:val="nil"/>
              <w:left w:val="nil"/>
              <w:bottom w:val="single" w:color="auto" w:sz="4" w:space="0"/>
              <w:right w:val="single" w:color="auto" w:sz="4" w:space="0"/>
            </w:tcBorders>
            <w:vAlign w:val="center"/>
          </w:tcPr>
          <w:p>
            <w:pPr>
              <w:spacing w:line="320" w:lineRule="exact"/>
              <w:rPr>
                <w:rFonts w:ascii="宋体" w:hAnsi="宋体"/>
                <w:sz w:val="18"/>
                <w:szCs w:val="18"/>
              </w:rPr>
            </w:pPr>
            <w:r>
              <w:rPr>
                <w:rFonts w:ascii="宋体" w:hAnsi="宋体" w:cs="宋体"/>
                <w:kern w:val="0"/>
                <w:sz w:val="18"/>
                <w:szCs w:val="18"/>
              </w:rPr>
              <w:t>流媒体服务器产品，集成DAC、VTDU于一体, 支持海康/GB/ONVIF/PSIA标准协议的视频接入和转发（性能：600路*4Mbps的接入和600路*4Mbps转发）。配置：1个64位多核处理器，16GB。</w:t>
            </w:r>
          </w:p>
        </w:tc>
        <w:tc>
          <w:tcPr>
            <w:tcW w:w="739" w:type="dxa"/>
            <w:tcBorders>
              <w:top w:val="nil"/>
              <w:left w:val="nil"/>
              <w:bottom w:val="single" w:color="auto" w:sz="4" w:space="0"/>
              <w:right w:val="single" w:color="auto" w:sz="4" w:space="0"/>
            </w:tcBorders>
            <w:vAlign w:val="center"/>
          </w:tcPr>
          <w:p>
            <w:pPr>
              <w:widowControl/>
              <w:ind w:firstLine="180" w:firstLineChars="100"/>
              <w:rPr>
                <w:rFonts w:ascii="宋体" w:hAnsi="宋体" w:cs="宋体"/>
                <w:kern w:val="0"/>
                <w:sz w:val="18"/>
                <w:szCs w:val="18"/>
              </w:rPr>
            </w:pPr>
            <w:r>
              <w:rPr>
                <w:rFonts w:hint="eastAsia" w:ascii="宋体" w:hAnsi="宋体" w:cs="宋体"/>
                <w:kern w:val="0"/>
                <w:sz w:val="18"/>
                <w:szCs w:val="18"/>
              </w:rPr>
              <w:t>1</w:t>
            </w:r>
          </w:p>
        </w:tc>
        <w:tc>
          <w:tcPr>
            <w:tcW w:w="623" w:type="dxa"/>
            <w:tcBorders>
              <w:top w:val="nil"/>
              <w:left w:val="nil"/>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台</w:t>
            </w:r>
          </w:p>
        </w:tc>
        <w:tc>
          <w:tcPr>
            <w:tcW w:w="1136"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85" w:hRule="atLeast"/>
        </w:trPr>
        <w:tc>
          <w:tcPr>
            <w:tcW w:w="550"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15</w:t>
            </w:r>
          </w:p>
        </w:tc>
        <w:tc>
          <w:tcPr>
            <w:tcW w:w="2252" w:type="dxa"/>
            <w:tcBorders>
              <w:top w:val="nil"/>
              <w:left w:val="nil"/>
              <w:bottom w:val="single" w:color="auto" w:sz="4" w:space="0"/>
              <w:right w:val="single" w:color="auto" w:sz="4" w:space="0"/>
            </w:tcBorders>
            <w:vAlign w:val="center"/>
          </w:tcPr>
          <w:p>
            <w:pPr>
              <w:widowControl/>
              <w:jc w:val="left"/>
              <w:rPr>
                <w:sz w:val="18"/>
                <w:szCs w:val="18"/>
              </w:rPr>
            </w:pPr>
            <w:r>
              <w:rPr>
                <w:rFonts w:hint="eastAsia"/>
                <w:sz w:val="18"/>
                <w:szCs w:val="18"/>
              </w:rPr>
              <w:t>手机APP软件</w:t>
            </w:r>
          </w:p>
        </w:tc>
        <w:tc>
          <w:tcPr>
            <w:tcW w:w="4356" w:type="dxa"/>
            <w:tcBorders>
              <w:top w:val="nil"/>
              <w:left w:val="nil"/>
              <w:bottom w:val="single" w:color="auto" w:sz="4" w:space="0"/>
              <w:right w:val="single" w:color="auto" w:sz="4" w:space="0"/>
            </w:tcBorders>
            <w:vAlign w:val="center"/>
          </w:tcPr>
          <w:p>
            <w:pPr>
              <w:spacing w:line="320" w:lineRule="exact"/>
              <w:rPr>
                <w:rFonts w:ascii="宋体" w:hAnsi="宋体"/>
                <w:sz w:val="18"/>
                <w:szCs w:val="18"/>
              </w:rPr>
            </w:pPr>
            <w:r>
              <w:rPr>
                <w:rFonts w:hint="eastAsia" w:ascii="宋体" w:hAnsi="宋体"/>
                <w:sz w:val="18"/>
                <w:szCs w:val="18"/>
              </w:rPr>
              <w:t>可以通过手机端预览、回放、控制等</w:t>
            </w:r>
          </w:p>
        </w:tc>
        <w:tc>
          <w:tcPr>
            <w:tcW w:w="739" w:type="dxa"/>
            <w:tcBorders>
              <w:top w:val="nil"/>
              <w:left w:val="nil"/>
              <w:bottom w:val="single" w:color="auto" w:sz="4" w:space="0"/>
              <w:right w:val="single" w:color="auto" w:sz="4" w:space="0"/>
            </w:tcBorders>
            <w:vAlign w:val="center"/>
          </w:tcPr>
          <w:p>
            <w:pPr>
              <w:widowControl/>
              <w:ind w:firstLine="180" w:firstLineChars="100"/>
              <w:rPr>
                <w:rFonts w:ascii="宋体" w:hAnsi="宋体" w:cs="宋体"/>
                <w:kern w:val="0"/>
                <w:sz w:val="18"/>
                <w:szCs w:val="18"/>
              </w:rPr>
            </w:pPr>
            <w:r>
              <w:rPr>
                <w:rFonts w:hint="eastAsia" w:ascii="宋体" w:hAnsi="宋体" w:cs="宋体"/>
                <w:kern w:val="0"/>
                <w:sz w:val="18"/>
                <w:szCs w:val="18"/>
              </w:rPr>
              <w:t>1</w:t>
            </w:r>
          </w:p>
        </w:tc>
        <w:tc>
          <w:tcPr>
            <w:tcW w:w="623" w:type="dxa"/>
            <w:tcBorders>
              <w:top w:val="nil"/>
              <w:left w:val="nil"/>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套</w:t>
            </w:r>
          </w:p>
        </w:tc>
        <w:tc>
          <w:tcPr>
            <w:tcW w:w="1136"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85" w:hRule="atLeast"/>
        </w:trPr>
        <w:tc>
          <w:tcPr>
            <w:tcW w:w="550"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16</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sz w:val="18"/>
                <w:szCs w:val="18"/>
              </w:rPr>
              <w:t>HDMI高清线</w:t>
            </w:r>
          </w:p>
        </w:tc>
        <w:tc>
          <w:tcPr>
            <w:tcW w:w="4356"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hint="eastAsia" w:ascii="宋体" w:hAnsi="宋体" w:cs="宋体"/>
                <w:kern w:val="0"/>
                <w:sz w:val="18"/>
                <w:szCs w:val="18"/>
              </w:rPr>
              <w:t>HDMI电缆,HDMI/AM转HDMI/AM,黑,加强型</w:t>
            </w:r>
          </w:p>
        </w:tc>
        <w:tc>
          <w:tcPr>
            <w:tcW w:w="739" w:type="dxa"/>
            <w:tcBorders>
              <w:top w:val="nil"/>
              <w:left w:val="nil"/>
              <w:bottom w:val="single" w:color="auto" w:sz="4" w:space="0"/>
              <w:right w:val="single" w:color="auto" w:sz="4" w:space="0"/>
            </w:tcBorders>
            <w:vAlign w:val="center"/>
          </w:tcPr>
          <w:p>
            <w:pPr>
              <w:widowControl/>
              <w:ind w:firstLine="180" w:firstLineChars="100"/>
              <w:rPr>
                <w:rFonts w:ascii="宋体" w:hAnsi="宋体" w:cs="宋体"/>
                <w:kern w:val="0"/>
                <w:sz w:val="18"/>
                <w:szCs w:val="18"/>
              </w:rPr>
            </w:pPr>
            <w:r>
              <w:rPr>
                <w:rFonts w:hint="eastAsia" w:ascii="宋体" w:hAnsi="宋体" w:cs="宋体"/>
                <w:kern w:val="0"/>
                <w:sz w:val="18"/>
                <w:szCs w:val="18"/>
              </w:rPr>
              <w:t>12</w:t>
            </w:r>
          </w:p>
        </w:tc>
        <w:tc>
          <w:tcPr>
            <w:tcW w:w="6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根</w:t>
            </w:r>
          </w:p>
        </w:tc>
        <w:tc>
          <w:tcPr>
            <w:tcW w:w="113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550"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17</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监控主机</w:t>
            </w:r>
          </w:p>
        </w:tc>
        <w:tc>
          <w:tcPr>
            <w:tcW w:w="4356"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双千兆网口；i5-7200U/8GB DDR4*1/512GB SSD*1，含windows 10 操作系统</w:t>
            </w:r>
          </w:p>
        </w:tc>
        <w:tc>
          <w:tcPr>
            <w:tcW w:w="739" w:type="dxa"/>
            <w:tcBorders>
              <w:top w:val="nil"/>
              <w:left w:val="nil"/>
              <w:bottom w:val="single" w:color="auto" w:sz="4" w:space="0"/>
              <w:right w:val="single" w:color="auto" w:sz="4" w:space="0"/>
            </w:tcBorders>
            <w:vAlign w:val="center"/>
          </w:tcPr>
          <w:p>
            <w:pPr>
              <w:widowControl/>
              <w:ind w:firstLine="180" w:firstLineChars="100"/>
              <w:rPr>
                <w:rFonts w:ascii="宋体" w:hAnsi="宋体" w:cs="宋体"/>
                <w:kern w:val="0"/>
                <w:sz w:val="18"/>
                <w:szCs w:val="18"/>
              </w:rPr>
            </w:pPr>
            <w:r>
              <w:rPr>
                <w:rFonts w:hint="eastAsia" w:ascii="宋体" w:hAnsi="宋体" w:cs="宋体"/>
                <w:kern w:val="0"/>
                <w:sz w:val="18"/>
                <w:szCs w:val="18"/>
              </w:rPr>
              <w:t>3</w:t>
            </w:r>
          </w:p>
        </w:tc>
        <w:tc>
          <w:tcPr>
            <w:tcW w:w="6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113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550"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18</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接入交换机</w:t>
            </w:r>
          </w:p>
        </w:tc>
        <w:tc>
          <w:tcPr>
            <w:tcW w:w="4356"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轻网管提供8个千兆PoE电口、2个千兆光口</w:t>
            </w:r>
            <w:r>
              <w:rPr>
                <w:rFonts w:ascii="宋体" w:hAnsi="宋体" w:cs="宋体"/>
                <w:kern w:val="0"/>
                <w:sz w:val="18"/>
                <w:szCs w:val="18"/>
              </w:rPr>
              <w:t>；</w:t>
            </w:r>
            <w:r>
              <w:rPr>
                <w:rFonts w:hint="eastAsia" w:ascii="宋体" w:hAnsi="宋体" w:cs="宋体"/>
                <w:kern w:val="0"/>
                <w:sz w:val="18"/>
                <w:szCs w:val="18"/>
              </w:rPr>
              <w:t>支持IEEE 802.3at/af标准</w:t>
            </w:r>
            <w:r>
              <w:rPr>
                <w:rFonts w:ascii="宋体" w:hAnsi="宋体" w:cs="宋体"/>
                <w:kern w:val="0"/>
                <w:sz w:val="18"/>
                <w:szCs w:val="18"/>
              </w:rPr>
              <w:t>；</w:t>
            </w:r>
            <w:r>
              <w:rPr>
                <w:rFonts w:hint="eastAsia" w:ascii="宋体" w:hAnsi="宋体" w:cs="宋体"/>
                <w:kern w:val="0"/>
                <w:sz w:val="18"/>
                <w:szCs w:val="18"/>
              </w:rPr>
              <w:t>支持IEEE 802.3、IEEE 802.3u、IEEE 802.3x、IEEE 802.3ab、IEEE 802.3z标准</w:t>
            </w:r>
            <w:r>
              <w:rPr>
                <w:rFonts w:ascii="宋体" w:hAnsi="宋体" w:cs="宋体"/>
                <w:kern w:val="0"/>
                <w:sz w:val="18"/>
                <w:szCs w:val="18"/>
              </w:rPr>
              <w:t>；</w:t>
            </w:r>
            <w:r>
              <w:rPr>
                <w:rFonts w:hint="eastAsia" w:ascii="宋体" w:hAnsi="宋体" w:cs="宋体"/>
                <w:kern w:val="0"/>
                <w:sz w:val="18"/>
                <w:szCs w:val="18"/>
              </w:rPr>
              <w:t>支持安防网络拓扑管理、链路聚合、端口管理</w:t>
            </w:r>
            <w:r>
              <w:rPr>
                <w:rFonts w:ascii="宋体" w:hAnsi="宋体" w:cs="宋体"/>
                <w:kern w:val="0"/>
                <w:sz w:val="18"/>
                <w:szCs w:val="18"/>
              </w:rPr>
              <w:t>；</w:t>
            </w:r>
            <w:r>
              <w:rPr>
                <w:rFonts w:hint="eastAsia" w:ascii="宋体" w:hAnsi="宋体" w:cs="宋体"/>
                <w:kern w:val="0"/>
                <w:sz w:val="18"/>
                <w:szCs w:val="18"/>
              </w:rPr>
              <w:t>支持远程升级</w:t>
            </w:r>
            <w:r>
              <w:rPr>
                <w:rFonts w:ascii="宋体" w:hAnsi="宋体" w:cs="宋体"/>
                <w:kern w:val="0"/>
                <w:sz w:val="18"/>
                <w:szCs w:val="18"/>
              </w:rPr>
              <w:t>；</w:t>
            </w:r>
            <w:r>
              <w:rPr>
                <w:rFonts w:hint="eastAsia" w:ascii="宋体" w:hAnsi="宋体" w:cs="宋体"/>
                <w:kern w:val="0"/>
                <w:sz w:val="18"/>
                <w:szCs w:val="18"/>
              </w:rPr>
              <w:t>支持6 KV防浪涌（PoE口）</w:t>
            </w:r>
            <w:r>
              <w:rPr>
                <w:rFonts w:ascii="宋体" w:hAnsi="宋体" w:cs="宋体"/>
                <w:kern w:val="0"/>
                <w:sz w:val="18"/>
                <w:szCs w:val="18"/>
              </w:rPr>
              <w:t>；</w:t>
            </w:r>
            <w:r>
              <w:rPr>
                <w:rFonts w:hint="eastAsia" w:ascii="宋体" w:hAnsi="宋体" w:cs="宋体"/>
                <w:kern w:val="0"/>
                <w:sz w:val="18"/>
                <w:szCs w:val="18"/>
              </w:rPr>
              <w:t>支持PoE输出功率管理</w:t>
            </w:r>
            <w:r>
              <w:rPr>
                <w:rFonts w:ascii="宋体" w:hAnsi="宋体" w:cs="宋体"/>
                <w:kern w:val="0"/>
                <w:sz w:val="18"/>
                <w:szCs w:val="18"/>
              </w:rPr>
              <w:t>；</w:t>
            </w:r>
            <w:r>
              <w:rPr>
                <w:rFonts w:hint="eastAsia" w:ascii="宋体" w:hAnsi="宋体" w:cs="宋体"/>
                <w:kern w:val="0"/>
                <w:sz w:val="18"/>
                <w:szCs w:val="18"/>
              </w:rPr>
              <w:t>千兆网络接入设计</w:t>
            </w:r>
          </w:p>
        </w:tc>
        <w:tc>
          <w:tcPr>
            <w:tcW w:w="739"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6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113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550"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19</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汇聚交换机</w:t>
            </w:r>
          </w:p>
        </w:tc>
        <w:tc>
          <w:tcPr>
            <w:tcW w:w="4356"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24口千兆全网管二层交换机，机架式，24个千兆电口，4个万兆SFP+万口，支持通过console口管理。交换容量：336Gbps/3.36Tbps，包转发率：108Mpps/126Mpps，1U高度，19英寸宽，工作温度：0℃～45℃，满负荷功耗10W。支持VLAN,流量控制，ACL，QOS，环网RRPP，支持SNMP V1/V2c/V3网管。</w:t>
            </w:r>
          </w:p>
        </w:tc>
        <w:tc>
          <w:tcPr>
            <w:tcW w:w="739"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6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113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550"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20</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kern w:val="0"/>
                <w:sz w:val="18"/>
                <w:szCs w:val="18"/>
              </w:rPr>
              <w:t>标准服务器机柜</w:t>
            </w:r>
          </w:p>
        </w:tc>
        <w:tc>
          <w:tcPr>
            <w:tcW w:w="4356"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服务器机柜 42U</w:t>
            </w:r>
          </w:p>
        </w:tc>
        <w:tc>
          <w:tcPr>
            <w:tcW w:w="739"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6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113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550"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21</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ipad平板</w:t>
            </w:r>
          </w:p>
        </w:tc>
        <w:tc>
          <w:tcPr>
            <w:tcW w:w="4356"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触摸</w:t>
            </w:r>
          </w:p>
        </w:tc>
        <w:tc>
          <w:tcPr>
            <w:tcW w:w="739"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6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113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550"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22</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操作台</w:t>
            </w:r>
          </w:p>
        </w:tc>
        <w:tc>
          <w:tcPr>
            <w:tcW w:w="4356"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3工位，含3把座椅</w:t>
            </w:r>
          </w:p>
        </w:tc>
        <w:tc>
          <w:tcPr>
            <w:tcW w:w="739"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6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113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550"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23</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空调</w:t>
            </w:r>
          </w:p>
        </w:tc>
        <w:tc>
          <w:tcPr>
            <w:tcW w:w="4356"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3P</w:t>
            </w:r>
          </w:p>
        </w:tc>
        <w:tc>
          <w:tcPr>
            <w:tcW w:w="739"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6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113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550"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24</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大屏包边装饰</w:t>
            </w:r>
          </w:p>
        </w:tc>
        <w:tc>
          <w:tcPr>
            <w:tcW w:w="4356"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定制</w:t>
            </w:r>
          </w:p>
        </w:tc>
        <w:tc>
          <w:tcPr>
            <w:tcW w:w="739"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6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113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550"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color w:val="000000" w:themeColor="text1"/>
                <w:kern w:val="0"/>
                <w:sz w:val="18"/>
                <w:szCs w:val="18"/>
                <w14:textFill>
                  <w14:solidFill>
                    <w14:schemeClr w14:val="tx1"/>
                  </w14:solidFill>
                </w14:textFill>
              </w:rPr>
            </w:pPr>
            <w:bookmarkStart w:id="8" w:name="_GoBack"/>
            <w:r>
              <w:rPr>
                <w:rFonts w:hint="eastAsia" w:ascii="Arial" w:hAnsi="Arial" w:cs="Arial"/>
                <w:color w:val="000000" w:themeColor="text1"/>
                <w:kern w:val="0"/>
                <w:sz w:val="18"/>
                <w:szCs w:val="18"/>
                <w14:textFill>
                  <w14:solidFill>
                    <w14:schemeClr w14:val="tx1"/>
                  </w14:solidFill>
                </w14:textFill>
              </w:rPr>
              <w:t>25</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其他辅材</w:t>
            </w:r>
          </w:p>
        </w:tc>
        <w:tc>
          <w:tcPr>
            <w:tcW w:w="4356" w:type="dxa"/>
            <w:tcBorders>
              <w:top w:val="nil"/>
              <w:left w:val="nil"/>
              <w:bottom w:val="single" w:color="auto" w:sz="4" w:space="0"/>
              <w:right w:val="single" w:color="auto" w:sz="4" w:space="0"/>
            </w:tcBorders>
            <w:vAlign w:val="center"/>
          </w:tcPr>
          <w:p>
            <w:pPr>
              <w:widowControl/>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地面室外网线3000米、电源线2000米，地面12芯光缆5000米，矿用阻燃网线3000米，矿用阻燃12芯光缆3000米，矿用阻燃电源线（3*1.5）1000米，矿用本安型光配柜4台等所需安装附件</w:t>
            </w:r>
          </w:p>
        </w:tc>
        <w:tc>
          <w:tcPr>
            <w:tcW w:w="739"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623"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宗</w:t>
            </w:r>
          </w:p>
        </w:tc>
        <w:tc>
          <w:tcPr>
            <w:tcW w:w="1136"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18"/>
                <w:szCs w:val="18"/>
                <w14:textFill>
                  <w14:solidFill>
                    <w14:schemeClr w14:val="tx1"/>
                  </w14:solidFill>
                </w14:textFill>
              </w:rPr>
            </w:pPr>
          </w:p>
        </w:tc>
      </w:tr>
      <w:bookmarkEnd w:id="8"/>
    </w:tbl>
    <w:p>
      <w:pPr>
        <w:rPr>
          <w:rFonts w:asciiTheme="minorEastAsia" w:hAnsiTheme="minorEastAsia" w:eastAsiaTheme="minorEastAsia"/>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pict>
        <v:shape id="文本框 3" o:spid="_x0000_s4097" o:spt="202" type="#_x0000_t202" style="position:absolute;left:0pt;margin-top:0pt;height:10.35pt;width:9.0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">
          <v:path arrowok="t"/>
          <v:fill on="f" focussize="0,0"/>
          <v:stroke on="f" weight="1.2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AE39C"/>
    <w:multiLevelType w:val="multilevel"/>
    <w:tmpl w:val="B4FAE39C"/>
    <w:lvl w:ilvl="0" w:tentative="0">
      <w:start w:val="1"/>
      <w:numFmt w:val="decimal"/>
      <w:pStyle w:val="39"/>
      <w:suff w:val="nothing"/>
      <w:lvlText w:val="（%1）"/>
      <w:lvlJc w:val="left"/>
      <w:pPr>
        <w:ind w:left="420" w:firstLine="0"/>
        <w:textAlignment w:val="baseline"/>
      </w:pPr>
      <w:rPr>
        <w:b w:val="0"/>
        <w:bCs w:val="0"/>
        <w:i w:val="0"/>
        <w:iCs w:val="0"/>
        <w:caps w:val="0"/>
        <w:strike w:val="0"/>
        <w:dstrike w:val="0"/>
        <w:vanish w:val="0"/>
        <w:spacing w:val="0"/>
        <w:position w:val="0"/>
        <w:u w:val="none"/>
      </w:rPr>
    </w:lvl>
    <w:lvl w:ilvl="1" w:tentative="0">
      <w:start w:val="1"/>
      <w:numFmt w:val="decimal"/>
      <w:suff w:val="nothing"/>
      <w:lvlText w:val="%2）"/>
      <w:lvlJc w:val="left"/>
      <w:pPr>
        <w:ind w:left="840" w:firstLine="0"/>
      </w:pPr>
    </w:lvl>
    <w:lvl w:ilvl="2" w:tentative="0">
      <w:start w:val="1"/>
      <w:numFmt w:val="lowerRoman"/>
      <w:lvlText w:val="%3."/>
      <w:lvlJc w:val="right"/>
      <w:pPr>
        <w:ind w:left="1260" w:firstLine="0"/>
      </w:pPr>
    </w:lvl>
    <w:lvl w:ilvl="3" w:tentative="0">
      <w:start w:val="1"/>
      <w:numFmt w:val="decimal"/>
      <w:lvlText w:val="%4）"/>
      <w:lvlJc w:val="left"/>
      <w:pPr>
        <w:ind w:left="1680" w:firstLine="0"/>
      </w:pPr>
    </w:lvl>
    <w:lvl w:ilvl="4" w:tentative="0">
      <w:start w:val="1"/>
      <w:numFmt w:val="lowerLetter"/>
      <w:lvlText w:val="%5)"/>
      <w:lvlJc w:val="left"/>
      <w:pPr>
        <w:ind w:left="2100" w:firstLine="0"/>
      </w:pPr>
    </w:lvl>
    <w:lvl w:ilvl="5" w:tentative="0">
      <w:start w:val="1"/>
      <w:numFmt w:val="lowerRoman"/>
      <w:lvlText w:val="%6."/>
      <w:lvlJc w:val="right"/>
      <w:pPr>
        <w:ind w:left="2520" w:firstLine="0"/>
      </w:pPr>
    </w:lvl>
    <w:lvl w:ilvl="6" w:tentative="0">
      <w:start w:val="1"/>
      <w:numFmt w:val="decimal"/>
      <w:lvlText w:val="%7."/>
      <w:lvlJc w:val="left"/>
      <w:pPr>
        <w:ind w:left="2940" w:firstLine="0"/>
      </w:pPr>
    </w:lvl>
    <w:lvl w:ilvl="7" w:tentative="0">
      <w:start w:val="1"/>
      <w:numFmt w:val="lowerLetter"/>
      <w:lvlText w:val="%8)"/>
      <w:lvlJc w:val="left"/>
      <w:pPr>
        <w:ind w:left="3360" w:firstLine="0"/>
      </w:pPr>
    </w:lvl>
    <w:lvl w:ilvl="8" w:tentative="0">
      <w:start w:val="1"/>
      <w:numFmt w:val="lowerRoman"/>
      <w:lvlText w:val="%9."/>
      <w:lvlJc w:val="right"/>
      <w:pPr>
        <w:ind w:left="3780" w:firstLine="0"/>
      </w:pPr>
    </w:lvl>
  </w:abstractNum>
  <w:abstractNum w:abstractNumId="1">
    <w:nsid w:val="016A5FA0"/>
    <w:multiLevelType w:val="multilevel"/>
    <w:tmpl w:val="016A5FA0"/>
    <w:lvl w:ilvl="0" w:tentative="0">
      <w:start w:val="2"/>
      <w:numFmt w:val="decimal"/>
      <w:lvlText w:val="%1"/>
      <w:lvlJc w:val="left"/>
      <w:pPr>
        <w:ind w:left="456" w:hanging="456"/>
      </w:pPr>
      <w:rPr>
        <w:rFonts w:hint="default"/>
      </w:rPr>
    </w:lvl>
    <w:lvl w:ilvl="1" w:tentative="0">
      <w:start w:val="2"/>
      <w:numFmt w:val="decimal"/>
      <w:lvlText w:val="%1.%2"/>
      <w:lvlJc w:val="left"/>
      <w:pPr>
        <w:ind w:left="456" w:hanging="456"/>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
    <w:nsid w:val="14C51554"/>
    <w:multiLevelType w:val="multilevel"/>
    <w:tmpl w:val="14C51554"/>
    <w:lvl w:ilvl="0" w:tentative="0">
      <w:start w:val="1"/>
      <w:numFmt w:val="decimal"/>
      <w:lvlText w:val="%1"/>
      <w:lvlJc w:val="left"/>
      <w:pPr>
        <w:ind w:left="420" w:hanging="420"/>
        <w:textAlignment w:val="baseline"/>
      </w:pPr>
      <w:rPr>
        <w:rFonts w:hint="eastAsia" w:ascii="黑体" w:hAnsi="宋体" w:eastAsia="黑体" w:cs="黑体"/>
        <w:b w:val="0"/>
        <w:bCs w:val="0"/>
        <w:i w:val="0"/>
        <w:iCs w:val="0"/>
        <w:caps w:val="0"/>
        <w:strike w:val="0"/>
        <w:dstrike w:val="0"/>
        <w:vanish w:val="0"/>
        <w:spacing w:val="0"/>
        <w:position w:val="0"/>
        <w:sz w:val="44"/>
        <w:szCs w:val="36"/>
        <w:u w:val="none"/>
      </w:rPr>
    </w:lvl>
    <w:lvl w:ilvl="1" w:tentative="0">
      <w:start w:val="1"/>
      <w:numFmt w:val="decimal"/>
      <w:isLgl/>
      <w:suff w:val="space"/>
      <w:lvlText w:val="%1.%2"/>
      <w:lvlJc w:val="left"/>
      <w:pPr>
        <w:pBdr>
          <w:top w:val="none" w:color="auto" w:sz="0" w:space="0"/>
          <w:left w:val="none" w:color="auto" w:sz="0" w:space="0"/>
          <w:bottom w:val="none" w:color="auto" w:sz="0" w:space="0"/>
          <w:right w:val="none" w:color="auto" w:sz="0" w:space="0"/>
        </w:pBdr>
        <w:ind w:left="284" w:firstLine="0"/>
        <w:textAlignment w:val="baseline"/>
      </w:pPr>
      <w:rPr>
        <w:rFonts w:hint="eastAsia" w:ascii="黑体" w:hAnsi="宋体" w:eastAsia="黑体" w:cs="Times New Roman"/>
        <w:b w:val="0"/>
        <w:bCs w:val="0"/>
        <w:i w:val="0"/>
        <w:iCs w:val="0"/>
        <w:caps w:val="0"/>
        <w:strike w:val="0"/>
        <w:dstrike w:val="0"/>
        <w:vanish w:val="0"/>
        <w:color w:val="auto"/>
        <w:spacing w:val="0"/>
        <w:w w:val="100"/>
        <w:kern w:val="2"/>
        <w:position w:val="0"/>
        <w:sz w:val="36"/>
        <w:u w:val="none"/>
        <w:lang w:val="en-US"/>
      </w:rPr>
    </w:lvl>
    <w:lvl w:ilvl="2" w:tentative="0">
      <w:start w:val="1"/>
      <w:numFmt w:val="decimal"/>
      <w:isLgl/>
      <w:suff w:val="space"/>
      <w:lvlText w:val="%1.%2.%3"/>
      <w:lvlJc w:val="left"/>
      <w:pPr>
        <w:ind w:left="0" w:firstLine="0"/>
        <w:textAlignment w:val="baseline"/>
      </w:pPr>
      <w:rPr>
        <w:rFonts w:hint="eastAsia" w:ascii="黑体" w:hAnsi="宋体" w:eastAsia="黑体" w:cs="Times New Roman"/>
        <w:b w:val="0"/>
        <w:bCs w:val="0"/>
        <w:i w:val="0"/>
        <w:iCs w:val="0"/>
        <w:caps w:val="0"/>
        <w:strike w:val="0"/>
        <w:dstrike w:val="0"/>
        <w:vanish w:val="0"/>
        <w:spacing w:val="0"/>
        <w:kern w:val="0"/>
        <w:position w:val="0"/>
        <w:u w:val="none"/>
      </w:rPr>
    </w:lvl>
    <w:lvl w:ilvl="3" w:tentative="0">
      <w:start w:val="1"/>
      <w:numFmt w:val="decimal"/>
      <w:pStyle w:val="6"/>
      <w:isLgl/>
      <w:suff w:val="space"/>
      <w:lvlText w:val="%1.%2.%3.%4"/>
      <w:lvlJc w:val="left"/>
      <w:pPr>
        <w:ind w:left="1417" w:firstLine="0"/>
      </w:pPr>
      <w:rPr>
        <w:rFonts w:hint="eastAsia" w:ascii="黑体" w:hAnsi="宋体" w:eastAsia="黑体" w:cs="黑体"/>
        <w:b w:val="0"/>
        <w:i w:val="0"/>
        <w:sz w:val="30"/>
      </w:rPr>
    </w:lvl>
    <w:lvl w:ilvl="4" w:tentative="0">
      <w:start w:val="1"/>
      <w:numFmt w:val="decimal"/>
      <w:isLgl/>
      <w:suff w:val="space"/>
      <w:lvlText w:val="%1.%2.%3.%4.%5"/>
      <w:lvlJc w:val="left"/>
      <w:pPr>
        <w:ind w:left="0" w:firstLine="0"/>
      </w:pPr>
      <w:rPr>
        <w:rFonts w:hint="eastAsia" w:ascii="黑体" w:hAnsi="宋体" w:eastAsia="黑体" w:cs="黑体"/>
        <w:b w:val="0"/>
        <w:i w:val="0"/>
        <w:sz w:val="28"/>
      </w:rPr>
    </w:lvl>
    <w:lvl w:ilvl="5" w:tentative="0">
      <w:start w:val="1"/>
      <w:numFmt w:val="decimal"/>
      <w:isLgl/>
      <w:suff w:val="space"/>
      <w:lvlText w:val="%1.%2.%3.%4.%5.%6"/>
      <w:lvlJc w:val="left"/>
      <w:pPr>
        <w:ind w:left="0" w:firstLine="0"/>
        <w:textAlignment w:val="baseline"/>
      </w:pPr>
      <w:rPr>
        <w:rFonts w:cs="Times New Roman"/>
        <w:b w:val="0"/>
        <w:bCs w:val="0"/>
        <w:i w:val="0"/>
        <w:iCs w:val="0"/>
        <w:caps w:val="0"/>
        <w:strike w:val="0"/>
        <w:dstrike w:val="0"/>
        <w:vanish w:val="0"/>
        <w:spacing w:val="0"/>
        <w:position w:val="0"/>
        <w:u w:val="none"/>
      </w:rPr>
    </w:lvl>
    <w:lvl w:ilvl="6" w:tentative="0">
      <w:start w:val="1"/>
      <w:numFmt w:val="decimal"/>
      <w:isLgl/>
      <w:suff w:val="space"/>
      <w:lvlText w:val="%1.%2.%3.%4.%5.%6.%7"/>
      <w:lvlJc w:val="left"/>
      <w:pPr>
        <w:ind w:left="0" w:firstLine="0"/>
        <w:textAlignment w:val="baseline"/>
      </w:pPr>
      <w:rPr>
        <w:rFonts w:cs="Times New Roman"/>
        <w:b w:val="0"/>
        <w:bCs w:val="0"/>
        <w:i w:val="0"/>
        <w:iCs w:val="0"/>
        <w:caps w:val="0"/>
        <w:strike w:val="0"/>
        <w:dstrike w:val="0"/>
        <w:vanish w:val="0"/>
        <w:spacing w:val="0"/>
        <w:position w:val="0"/>
        <w:u w:val="none"/>
      </w:rPr>
    </w:lvl>
    <w:lvl w:ilvl="7" w:tentative="0">
      <w:start w:val="1"/>
      <w:numFmt w:val="decimal"/>
      <w:isLgl/>
      <w:suff w:val="space"/>
      <w:lvlText w:val="%1.%2.%3.%4.%5.%6.%7.%8"/>
      <w:lvlJc w:val="left"/>
      <w:pPr>
        <w:ind w:left="0" w:firstLine="0"/>
        <w:textAlignment w:val="baseline"/>
      </w:pPr>
      <w:rPr>
        <w:rFonts w:cs="Times New Roman"/>
        <w:b w:val="0"/>
        <w:bCs w:val="0"/>
        <w:i w:val="0"/>
        <w:iCs w:val="0"/>
        <w:caps w:val="0"/>
        <w:strike w:val="0"/>
        <w:dstrike w:val="0"/>
        <w:vanish w:val="0"/>
        <w:spacing w:val="0"/>
        <w:position w:val="0"/>
        <w:u w:val="none"/>
      </w:rPr>
    </w:lvl>
    <w:lvl w:ilvl="8" w:tentative="0">
      <w:start w:val="1"/>
      <w:numFmt w:val="decimal"/>
      <w:isLgl/>
      <w:suff w:val="space"/>
      <w:lvlText w:val="%1.%2.%3.%4.%5.%6.%7.%8.%9"/>
      <w:lvlJc w:val="left"/>
      <w:pPr>
        <w:ind w:left="0" w:firstLine="0"/>
        <w:textAlignment w:val="baseline"/>
      </w:pPr>
      <w:rPr>
        <w:b w:val="0"/>
        <w:bCs w:val="0"/>
        <w:i w:val="0"/>
        <w:iCs w:val="0"/>
        <w:caps w:val="0"/>
        <w:strike w:val="0"/>
        <w:dstrike w:val="0"/>
        <w:vanish w:val="0"/>
        <w:spacing w:val="0"/>
        <w:position w:val="0"/>
        <w:u w:val="none"/>
      </w:rPr>
    </w:lvl>
  </w:abstractNum>
  <w:abstractNum w:abstractNumId="3">
    <w:nsid w:val="1E5146BB"/>
    <w:multiLevelType w:val="multilevel"/>
    <w:tmpl w:val="1E5146BB"/>
    <w:lvl w:ilvl="0" w:tentative="0">
      <w:start w:val="1"/>
      <w:numFmt w:val="japaneseCounting"/>
      <w:lvlText w:val="第%1章、"/>
      <w:lvlJc w:val="left"/>
      <w:pPr>
        <w:tabs>
          <w:tab w:val="left" w:pos="1860"/>
        </w:tabs>
        <w:ind w:left="1860" w:hanging="144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29B42B7B"/>
    <w:multiLevelType w:val="multilevel"/>
    <w:tmpl w:val="29B42B7B"/>
    <w:lvl w:ilvl="0" w:tentative="0">
      <w:start w:val="1"/>
      <w:numFmt w:val="decimal"/>
      <w:lvlText w:val="%1."/>
      <w:lvlJc w:val="left"/>
      <w:pPr>
        <w:tabs>
          <w:tab w:val="left" w:pos="425"/>
        </w:tabs>
        <w:ind w:left="425" w:hanging="425"/>
      </w:pPr>
      <w:rPr>
        <w:rFonts w:hint="default"/>
      </w:rPr>
    </w:lvl>
    <w:lvl w:ilvl="1" w:tentative="0">
      <w:start w:val="1"/>
      <w:numFmt w:val="decimal"/>
      <w:lvlText w:val="%1.%2."/>
      <w:lvlJc w:val="left"/>
      <w:pPr>
        <w:tabs>
          <w:tab w:val="left" w:pos="709"/>
        </w:tabs>
        <w:ind w:left="709"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5">
    <w:nsid w:val="3B363D98"/>
    <w:multiLevelType w:val="multilevel"/>
    <w:tmpl w:val="3B363D98"/>
    <w:lvl w:ilvl="0" w:tentative="0">
      <w:start w:val="1"/>
      <w:numFmt w:val="decimal"/>
      <w:pStyle w:val="12"/>
      <w:lvlText w:val="图%1."/>
      <w:lvlJc w:val="left"/>
      <w:pPr>
        <w:ind w:left="2263"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6">
    <w:nsid w:val="6D485282"/>
    <w:multiLevelType w:val="multilevel"/>
    <w:tmpl w:val="6D485282"/>
    <w:lvl w:ilvl="0" w:tentative="0">
      <w:start w:val="1"/>
      <w:numFmt w:val="decimal"/>
      <w:suff w:val="nothing"/>
      <w:lvlText w:val="（%1）"/>
      <w:lvlJc w:val="left"/>
      <w:pPr>
        <w:ind w:left="420" w:firstLine="0"/>
        <w:textAlignment w:val="baseline"/>
      </w:pPr>
      <w:rPr>
        <w:b w:val="0"/>
        <w:bCs w:val="0"/>
        <w:i w:val="0"/>
        <w:iCs w:val="0"/>
        <w:caps w:val="0"/>
        <w:strike w:val="0"/>
        <w:dstrike w:val="0"/>
        <w:outline w:val="0"/>
        <w:vanish w:val="0"/>
        <w:spacing w:val="0"/>
        <w:position w:val="0"/>
        <w:u w:val="none"/>
      </w:rPr>
    </w:lvl>
    <w:lvl w:ilvl="1" w:tentative="0">
      <w:start w:val="1"/>
      <w:numFmt w:val="decimal"/>
      <w:suff w:val="nothing"/>
      <w:lvlText w:val="%2）"/>
      <w:lvlJc w:val="left"/>
      <w:pPr>
        <w:ind w:left="840" w:firstLine="0"/>
      </w:pPr>
    </w:lvl>
    <w:lvl w:ilvl="2" w:tentative="0">
      <w:start w:val="1"/>
      <w:numFmt w:val="lowerRoman"/>
      <w:lvlText w:val="%3."/>
      <w:lvlJc w:val="right"/>
      <w:pPr>
        <w:ind w:left="1260" w:firstLine="0"/>
      </w:pPr>
    </w:lvl>
    <w:lvl w:ilvl="3" w:tentative="0">
      <w:start w:val="1"/>
      <w:numFmt w:val="decimal"/>
      <w:lvlText w:val="%4）"/>
      <w:lvlJc w:val="left"/>
      <w:pPr>
        <w:ind w:left="1680" w:firstLine="0"/>
      </w:pPr>
    </w:lvl>
    <w:lvl w:ilvl="4" w:tentative="0">
      <w:start w:val="1"/>
      <w:numFmt w:val="lowerLetter"/>
      <w:lvlText w:val="%5)"/>
      <w:lvlJc w:val="left"/>
      <w:pPr>
        <w:ind w:left="2100" w:firstLine="0"/>
      </w:pPr>
    </w:lvl>
    <w:lvl w:ilvl="5" w:tentative="0">
      <w:start w:val="1"/>
      <w:numFmt w:val="lowerRoman"/>
      <w:lvlText w:val="%6."/>
      <w:lvlJc w:val="right"/>
      <w:pPr>
        <w:ind w:left="2520" w:firstLine="0"/>
      </w:pPr>
    </w:lvl>
    <w:lvl w:ilvl="6" w:tentative="0">
      <w:start w:val="1"/>
      <w:numFmt w:val="decimal"/>
      <w:lvlText w:val="%7."/>
      <w:lvlJc w:val="left"/>
      <w:pPr>
        <w:ind w:left="2940" w:firstLine="0"/>
      </w:pPr>
    </w:lvl>
    <w:lvl w:ilvl="7" w:tentative="0">
      <w:start w:val="1"/>
      <w:numFmt w:val="lowerLetter"/>
      <w:lvlText w:val="%8)"/>
      <w:lvlJc w:val="left"/>
      <w:pPr>
        <w:ind w:left="3360" w:firstLine="0"/>
      </w:pPr>
    </w:lvl>
    <w:lvl w:ilvl="8" w:tentative="0">
      <w:start w:val="1"/>
      <w:numFmt w:val="lowerRoman"/>
      <w:lvlText w:val="%9."/>
      <w:lvlJc w:val="right"/>
      <w:pPr>
        <w:ind w:left="3780" w:firstLine="0"/>
      </w:pPr>
    </w:lvl>
  </w:abstractNum>
  <w:abstractNum w:abstractNumId="7">
    <w:nsid w:val="6D6E75CF"/>
    <w:multiLevelType w:val="multilevel"/>
    <w:tmpl w:val="6D6E75CF"/>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8">
    <w:nsid w:val="7C191DD0"/>
    <w:multiLevelType w:val="multilevel"/>
    <w:tmpl w:val="7C191DD0"/>
    <w:lvl w:ilvl="0" w:tentative="0">
      <w:start w:val="1"/>
      <w:numFmt w:val="decimal"/>
      <w:lvlText w:val="%1）"/>
      <w:lvlJc w:val="left"/>
      <w:pPr>
        <w:ind w:left="900" w:hanging="420"/>
      </w:pPr>
      <w:rPr>
        <w:rFonts w:hint="default" w:eastAsiaTheme="minorEastAsia"/>
        <w:sz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5"/>
  </w:num>
  <w:num w:numId="3">
    <w:abstractNumId w:val="0"/>
  </w:num>
  <w:num w:numId="4">
    <w:abstractNumId w:val="3"/>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66F3B"/>
    <w:rsid w:val="00003AE0"/>
    <w:rsid w:val="00005AD2"/>
    <w:rsid w:val="00020D0E"/>
    <w:rsid w:val="00033D3E"/>
    <w:rsid w:val="00033EE5"/>
    <w:rsid w:val="00054097"/>
    <w:rsid w:val="00064585"/>
    <w:rsid w:val="00080CDA"/>
    <w:rsid w:val="0009447C"/>
    <w:rsid w:val="000945A9"/>
    <w:rsid w:val="000B4BBD"/>
    <w:rsid w:val="00123E8A"/>
    <w:rsid w:val="00135D8D"/>
    <w:rsid w:val="00164CB3"/>
    <w:rsid w:val="001731EB"/>
    <w:rsid w:val="001C4425"/>
    <w:rsid w:val="001C4714"/>
    <w:rsid w:val="001D41BD"/>
    <w:rsid w:val="001D4BB6"/>
    <w:rsid w:val="001D5DF6"/>
    <w:rsid w:val="00202440"/>
    <w:rsid w:val="00225544"/>
    <w:rsid w:val="00226212"/>
    <w:rsid w:val="002267E0"/>
    <w:rsid w:val="00233B04"/>
    <w:rsid w:val="00235344"/>
    <w:rsid w:val="002514E4"/>
    <w:rsid w:val="00255221"/>
    <w:rsid w:val="00256002"/>
    <w:rsid w:val="00263E93"/>
    <w:rsid w:val="002667AE"/>
    <w:rsid w:val="00280A41"/>
    <w:rsid w:val="002B28BB"/>
    <w:rsid w:val="002B78E8"/>
    <w:rsid w:val="002C23B0"/>
    <w:rsid w:val="00305EF1"/>
    <w:rsid w:val="0032224B"/>
    <w:rsid w:val="0032307A"/>
    <w:rsid w:val="00356EFA"/>
    <w:rsid w:val="0037083D"/>
    <w:rsid w:val="003772C4"/>
    <w:rsid w:val="003779B5"/>
    <w:rsid w:val="00397F48"/>
    <w:rsid w:val="003B36C0"/>
    <w:rsid w:val="003D42F8"/>
    <w:rsid w:val="00415583"/>
    <w:rsid w:val="00434DB4"/>
    <w:rsid w:val="004753C4"/>
    <w:rsid w:val="004A6BAB"/>
    <w:rsid w:val="004B2FBE"/>
    <w:rsid w:val="004C466D"/>
    <w:rsid w:val="004C5440"/>
    <w:rsid w:val="004D13A8"/>
    <w:rsid w:val="004E40DF"/>
    <w:rsid w:val="004E530E"/>
    <w:rsid w:val="004E7BCD"/>
    <w:rsid w:val="004F2CFA"/>
    <w:rsid w:val="00500A63"/>
    <w:rsid w:val="00506B6B"/>
    <w:rsid w:val="00562BF0"/>
    <w:rsid w:val="005B285C"/>
    <w:rsid w:val="005D2510"/>
    <w:rsid w:val="005E0C33"/>
    <w:rsid w:val="005F7ECB"/>
    <w:rsid w:val="00616FFB"/>
    <w:rsid w:val="00663E05"/>
    <w:rsid w:val="00666F3B"/>
    <w:rsid w:val="006709E2"/>
    <w:rsid w:val="00687E49"/>
    <w:rsid w:val="006E0119"/>
    <w:rsid w:val="006F1580"/>
    <w:rsid w:val="006F5ADD"/>
    <w:rsid w:val="0070276E"/>
    <w:rsid w:val="00714617"/>
    <w:rsid w:val="007453BC"/>
    <w:rsid w:val="00754C47"/>
    <w:rsid w:val="007570AC"/>
    <w:rsid w:val="007705F4"/>
    <w:rsid w:val="00770A2E"/>
    <w:rsid w:val="007B21B6"/>
    <w:rsid w:val="007D0673"/>
    <w:rsid w:val="007F6E13"/>
    <w:rsid w:val="00804622"/>
    <w:rsid w:val="00806B9B"/>
    <w:rsid w:val="00815E71"/>
    <w:rsid w:val="00822B6E"/>
    <w:rsid w:val="00875598"/>
    <w:rsid w:val="008B4914"/>
    <w:rsid w:val="008B7F43"/>
    <w:rsid w:val="00904699"/>
    <w:rsid w:val="00934009"/>
    <w:rsid w:val="00953A96"/>
    <w:rsid w:val="00962970"/>
    <w:rsid w:val="009A76FD"/>
    <w:rsid w:val="009B2AC1"/>
    <w:rsid w:val="009B2CA9"/>
    <w:rsid w:val="009D02E4"/>
    <w:rsid w:val="009E3A80"/>
    <w:rsid w:val="00A260A4"/>
    <w:rsid w:val="00A40F2B"/>
    <w:rsid w:val="00A4381C"/>
    <w:rsid w:val="00A43FC1"/>
    <w:rsid w:val="00A4617B"/>
    <w:rsid w:val="00A51D46"/>
    <w:rsid w:val="00A54EC7"/>
    <w:rsid w:val="00A551BB"/>
    <w:rsid w:val="00A5661C"/>
    <w:rsid w:val="00A67147"/>
    <w:rsid w:val="00A70630"/>
    <w:rsid w:val="00A71A6B"/>
    <w:rsid w:val="00A825AB"/>
    <w:rsid w:val="00A8338E"/>
    <w:rsid w:val="00A923C8"/>
    <w:rsid w:val="00AB0283"/>
    <w:rsid w:val="00AD2DE7"/>
    <w:rsid w:val="00AE2FF0"/>
    <w:rsid w:val="00AE476A"/>
    <w:rsid w:val="00AF1B65"/>
    <w:rsid w:val="00B102A4"/>
    <w:rsid w:val="00B605F8"/>
    <w:rsid w:val="00B66810"/>
    <w:rsid w:val="00B66A35"/>
    <w:rsid w:val="00B71E70"/>
    <w:rsid w:val="00BA11A4"/>
    <w:rsid w:val="00BA3065"/>
    <w:rsid w:val="00BD172C"/>
    <w:rsid w:val="00C0581C"/>
    <w:rsid w:val="00C1558D"/>
    <w:rsid w:val="00C435EE"/>
    <w:rsid w:val="00C600DC"/>
    <w:rsid w:val="00C62055"/>
    <w:rsid w:val="00CA448A"/>
    <w:rsid w:val="00CA4980"/>
    <w:rsid w:val="00CA7392"/>
    <w:rsid w:val="00CA7826"/>
    <w:rsid w:val="00CF1769"/>
    <w:rsid w:val="00CF21E1"/>
    <w:rsid w:val="00CF26C0"/>
    <w:rsid w:val="00CF4D10"/>
    <w:rsid w:val="00D1392E"/>
    <w:rsid w:val="00D23FF2"/>
    <w:rsid w:val="00D310E6"/>
    <w:rsid w:val="00D42CCE"/>
    <w:rsid w:val="00D55208"/>
    <w:rsid w:val="00D60585"/>
    <w:rsid w:val="00D62708"/>
    <w:rsid w:val="00D67B5C"/>
    <w:rsid w:val="00D903F6"/>
    <w:rsid w:val="00D90946"/>
    <w:rsid w:val="00D95956"/>
    <w:rsid w:val="00DC2171"/>
    <w:rsid w:val="00DD61DF"/>
    <w:rsid w:val="00DE3241"/>
    <w:rsid w:val="00DF1210"/>
    <w:rsid w:val="00E14061"/>
    <w:rsid w:val="00E27ECF"/>
    <w:rsid w:val="00E35BB9"/>
    <w:rsid w:val="00E518D9"/>
    <w:rsid w:val="00E52B58"/>
    <w:rsid w:val="00E56841"/>
    <w:rsid w:val="00E65E78"/>
    <w:rsid w:val="00E846B2"/>
    <w:rsid w:val="00E85D6A"/>
    <w:rsid w:val="00ED2FCD"/>
    <w:rsid w:val="00F12E66"/>
    <w:rsid w:val="00F2496F"/>
    <w:rsid w:val="00F30530"/>
    <w:rsid w:val="00F445B0"/>
    <w:rsid w:val="00F45453"/>
    <w:rsid w:val="00F559A9"/>
    <w:rsid w:val="00F7002D"/>
    <w:rsid w:val="00F70C80"/>
    <w:rsid w:val="00F94BFE"/>
    <w:rsid w:val="00FA0640"/>
    <w:rsid w:val="00FB5167"/>
    <w:rsid w:val="00FE3013"/>
    <w:rsid w:val="00FF0D4E"/>
    <w:rsid w:val="00FF4240"/>
    <w:rsid w:val="0165559F"/>
    <w:rsid w:val="01E56E45"/>
    <w:rsid w:val="03192A63"/>
    <w:rsid w:val="03BE360A"/>
    <w:rsid w:val="03D66A13"/>
    <w:rsid w:val="041F4EFE"/>
    <w:rsid w:val="042C0EBC"/>
    <w:rsid w:val="04F51810"/>
    <w:rsid w:val="057A21C6"/>
    <w:rsid w:val="05AA5167"/>
    <w:rsid w:val="065B4D4F"/>
    <w:rsid w:val="06C31FB6"/>
    <w:rsid w:val="06DA5055"/>
    <w:rsid w:val="07DB29DD"/>
    <w:rsid w:val="099967CE"/>
    <w:rsid w:val="09D05E45"/>
    <w:rsid w:val="0ADF52ED"/>
    <w:rsid w:val="0C6527D6"/>
    <w:rsid w:val="0CD619C5"/>
    <w:rsid w:val="0D662D48"/>
    <w:rsid w:val="0D765500"/>
    <w:rsid w:val="0DD241F3"/>
    <w:rsid w:val="0DFF169D"/>
    <w:rsid w:val="0EB20AD1"/>
    <w:rsid w:val="0EE251E1"/>
    <w:rsid w:val="0F6156CE"/>
    <w:rsid w:val="0FFF70B3"/>
    <w:rsid w:val="107B3F20"/>
    <w:rsid w:val="107C2883"/>
    <w:rsid w:val="10D64DD4"/>
    <w:rsid w:val="115A3A6A"/>
    <w:rsid w:val="117D2D56"/>
    <w:rsid w:val="11903EF6"/>
    <w:rsid w:val="11B1542A"/>
    <w:rsid w:val="11C57C64"/>
    <w:rsid w:val="139F6D7C"/>
    <w:rsid w:val="13AC16D1"/>
    <w:rsid w:val="13EC5383"/>
    <w:rsid w:val="142C3A61"/>
    <w:rsid w:val="167069E6"/>
    <w:rsid w:val="16D44AE5"/>
    <w:rsid w:val="17DF2E04"/>
    <w:rsid w:val="17F04282"/>
    <w:rsid w:val="182C4B8E"/>
    <w:rsid w:val="18C642C9"/>
    <w:rsid w:val="19144B6E"/>
    <w:rsid w:val="19CA28B1"/>
    <w:rsid w:val="1B080D1B"/>
    <w:rsid w:val="1B7B060F"/>
    <w:rsid w:val="1BB64747"/>
    <w:rsid w:val="1C1222ED"/>
    <w:rsid w:val="1C961365"/>
    <w:rsid w:val="1CBF19E5"/>
    <w:rsid w:val="1D716CE1"/>
    <w:rsid w:val="1DA9445C"/>
    <w:rsid w:val="1EF04110"/>
    <w:rsid w:val="1FC55FC3"/>
    <w:rsid w:val="1FF72FE6"/>
    <w:rsid w:val="214C6253"/>
    <w:rsid w:val="21A87759"/>
    <w:rsid w:val="2207522E"/>
    <w:rsid w:val="22D62F8D"/>
    <w:rsid w:val="22EC3898"/>
    <w:rsid w:val="231F19A6"/>
    <w:rsid w:val="24335831"/>
    <w:rsid w:val="24CC646E"/>
    <w:rsid w:val="24E51681"/>
    <w:rsid w:val="24F74099"/>
    <w:rsid w:val="25131C09"/>
    <w:rsid w:val="261D5702"/>
    <w:rsid w:val="26BB1DD1"/>
    <w:rsid w:val="286949D5"/>
    <w:rsid w:val="290B7F9D"/>
    <w:rsid w:val="29992022"/>
    <w:rsid w:val="29FD282F"/>
    <w:rsid w:val="2A181417"/>
    <w:rsid w:val="2A445B9A"/>
    <w:rsid w:val="2AAA1B21"/>
    <w:rsid w:val="2B4A419C"/>
    <w:rsid w:val="2B570312"/>
    <w:rsid w:val="2BD22CC8"/>
    <w:rsid w:val="2C526E62"/>
    <w:rsid w:val="2D58606C"/>
    <w:rsid w:val="2E1321AB"/>
    <w:rsid w:val="2EEA4C00"/>
    <w:rsid w:val="2F2907E2"/>
    <w:rsid w:val="31A33372"/>
    <w:rsid w:val="31D30B6C"/>
    <w:rsid w:val="33026711"/>
    <w:rsid w:val="33254336"/>
    <w:rsid w:val="333E302E"/>
    <w:rsid w:val="337D24B8"/>
    <w:rsid w:val="339733AC"/>
    <w:rsid w:val="33A01786"/>
    <w:rsid w:val="34746262"/>
    <w:rsid w:val="34F75117"/>
    <w:rsid w:val="3692525E"/>
    <w:rsid w:val="37A32D17"/>
    <w:rsid w:val="37B564F7"/>
    <w:rsid w:val="38435357"/>
    <w:rsid w:val="39351851"/>
    <w:rsid w:val="397C551E"/>
    <w:rsid w:val="39BA7A21"/>
    <w:rsid w:val="3A6F6E31"/>
    <w:rsid w:val="3A7750E3"/>
    <w:rsid w:val="3CB706F4"/>
    <w:rsid w:val="3E1C2105"/>
    <w:rsid w:val="3E95498C"/>
    <w:rsid w:val="3EB92D70"/>
    <w:rsid w:val="40182AB1"/>
    <w:rsid w:val="40EC217E"/>
    <w:rsid w:val="41E33AEE"/>
    <w:rsid w:val="422E02C4"/>
    <w:rsid w:val="42887A06"/>
    <w:rsid w:val="442B65B3"/>
    <w:rsid w:val="44413768"/>
    <w:rsid w:val="44937BC0"/>
    <w:rsid w:val="44DE708D"/>
    <w:rsid w:val="462F2204"/>
    <w:rsid w:val="479E1F58"/>
    <w:rsid w:val="48343468"/>
    <w:rsid w:val="48CA13A2"/>
    <w:rsid w:val="492E6076"/>
    <w:rsid w:val="49F326D4"/>
    <w:rsid w:val="4A1D0657"/>
    <w:rsid w:val="4A3414FD"/>
    <w:rsid w:val="4A3C409E"/>
    <w:rsid w:val="4B4B11F4"/>
    <w:rsid w:val="4BD23D44"/>
    <w:rsid w:val="4C186683"/>
    <w:rsid w:val="4C742085"/>
    <w:rsid w:val="4C806F03"/>
    <w:rsid w:val="4D9C6684"/>
    <w:rsid w:val="4DC614FB"/>
    <w:rsid w:val="4DE4323A"/>
    <w:rsid w:val="4E06594B"/>
    <w:rsid w:val="4FA42C81"/>
    <w:rsid w:val="506457FE"/>
    <w:rsid w:val="512A7492"/>
    <w:rsid w:val="523F39FE"/>
    <w:rsid w:val="545F4FB4"/>
    <w:rsid w:val="56000831"/>
    <w:rsid w:val="560F46C3"/>
    <w:rsid w:val="573B2228"/>
    <w:rsid w:val="57723359"/>
    <w:rsid w:val="57996E43"/>
    <w:rsid w:val="57A30505"/>
    <w:rsid w:val="59135F2E"/>
    <w:rsid w:val="59550F02"/>
    <w:rsid w:val="59717DC4"/>
    <w:rsid w:val="5A0D1466"/>
    <w:rsid w:val="5A436665"/>
    <w:rsid w:val="5AB46C0D"/>
    <w:rsid w:val="5AFA2504"/>
    <w:rsid w:val="5C7560D1"/>
    <w:rsid w:val="5D3D5EB2"/>
    <w:rsid w:val="5D850190"/>
    <w:rsid w:val="5DB552B3"/>
    <w:rsid w:val="5E6601F4"/>
    <w:rsid w:val="6030352E"/>
    <w:rsid w:val="62641720"/>
    <w:rsid w:val="62C54F90"/>
    <w:rsid w:val="62DC26C4"/>
    <w:rsid w:val="63AE03BF"/>
    <w:rsid w:val="64FF0C2E"/>
    <w:rsid w:val="66867BE4"/>
    <w:rsid w:val="67112D32"/>
    <w:rsid w:val="67A305E7"/>
    <w:rsid w:val="689C2C37"/>
    <w:rsid w:val="68C57892"/>
    <w:rsid w:val="69480791"/>
    <w:rsid w:val="69F7667E"/>
    <w:rsid w:val="6A1D349F"/>
    <w:rsid w:val="6A1E7F16"/>
    <w:rsid w:val="6A6A5E0F"/>
    <w:rsid w:val="6ACC5D04"/>
    <w:rsid w:val="6ADA7D29"/>
    <w:rsid w:val="6C231EEE"/>
    <w:rsid w:val="6CC05BCE"/>
    <w:rsid w:val="6D3D4F01"/>
    <w:rsid w:val="6D98780A"/>
    <w:rsid w:val="6DF31506"/>
    <w:rsid w:val="6EA6734C"/>
    <w:rsid w:val="6F9C3F68"/>
    <w:rsid w:val="70A67520"/>
    <w:rsid w:val="70EF183B"/>
    <w:rsid w:val="71331CD9"/>
    <w:rsid w:val="71520337"/>
    <w:rsid w:val="715E3A26"/>
    <w:rsid w:val="72C35A30"/>
    <w:rsid w:val="72FB055A"/>
    <w:rsid w:val="730B48C9"/>
    <w:rsid w:val="736135BD"/>
    <w:rsid w:val="73845A99"/>
    <w:rsid w:val="73F76F74"/>
    <w:rsid w:val="746B1C70"/>
    <w:rsid w:val="74B51309"/>
    <w:rsid w:val="77977A46"/>
    <w:rsid w:val="7872306D"/>
    <w:rsid w:val="78764F7E"/>
    <w:rsid w:val="79CA4DFE"/>
    <w:rsid w:val="79EB2160"/>
    <w:rsid w:val="7AD839FA"/>
    <w:rsid w:val="7CBC6B36"/>
    <w:rsid w:val="7D985324"/>
    <w:rsid w:val="7EED07B3"/>
    <w:rsid w:val="7EF230E6"/>
    <w:rsid w:val="7F6038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5"/>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3"/>
    <w:qFormat/>
    <w:uiPriority w:val="0"/>
    <w:pPr>
      <w:keepNext/>
      <w:keepLines/>
      <w:spacing w:beforeLines="50" w:afterLines="50" w:line="360" w:lineRule="auto"/>
      <w:outlineLvl w:val="2"/>
    </w:pPr>
    <w:rPr>
      <w:rFonts w:ascii="黑体"/>
      <w:bCs/>
      <w:kern w:val="0"/>
      <w:sz w:val="24"/>
      <w:szCs w:val="20"/>
    </w:rPr>
  </w:style>
  <w:style w:type="paragraph" w:styleId="6">
    <w:name w:val="heading 4"/>
    <w:basedOn w:val="1"/>
    <w:next w:val="1"/>
    <w:link w:val="41"/>
    <w:semiHidden/>
    <w:unhideWhenUsed/>
    <w:qFormat/>
    <w:uiPriority w:val="9"/>
    <w:pPr>
      <w:keepNext/>
      <w:keepLines/>
      <w:numPr>
        <w:ilvl w:val="3"/>
        <w:numId w:val="1"/>
      </w:numPr>
      <w:spacing w:before="120" w:after="120" w:line="360" w:lineRule="auto"/>
      <w:ind w:left="0"/>
      <w:jc w:val="left"/>
      <w:outlineLvl w:val="3"/>
    </w:pPr>
    <w:rPr>
      <w:rFonts w:eastAsia="黑体"/>
      <w:bCs/>
      <w:sz w:val="30"/>
      <w:szCs w:val="28"/>
    </w:rPr>
  </w:style>
  <w:style w:type="paragraph" w:styleId="7">
    <w:name w:val="heading 5"/>
    <w:basedOn w:val="1"/>
    <w:next w:val="1"/>
    <w:link w:val="44"/>
    <w:semiHidden/>
    <w:unhideWhenUsed/>
    <w:qFormat/>
    <w:uiPriority w:val="9"/>
    <w:pPr>
      <w:keepNext/>
      <w:keepLines/>
      <w:spacing w:before="280" w:after="290" w:line="372" w:lineRule="auto"/>
      <w:outlineLvl w:val="4"/>
    </w:pPr>
    <w:rPr>
      <w:b/>
      <w:sz w:val="28"/>
    </w:rPr>
  </w:style>
  <w:style w:type="paragraph" w:styleId="8">
    <w:name w:val="heading 6"/>
    <w:basedOn w:val="1"/>
    <w:next w:val="1"/>
    <w:link w:val="42"/>
    <w:semiHidden/>
    <w:unhideWhenUsed/>
    <w:qFormat/>
    <w:uiPriority w:val="9"/>
    <w:pPr>
      <w:keepNext/>
      <w:keepLines/>
      <w:spacing w:before="240" w:after="64" w:line="317" w:lineRule="auto"/>
      <w:outlineLvl w:val="5"/>
    </w:pPr>
    <w:rPr>
      <w:rFonts w:ascii="Arial" w:hAnsi="Arial" w:eastAsia="黑体"/>
      <w:b/>
      <w:sz w:val="24"/>
    </w:rPr>
  </w:style>
  <w:style w:type="paragraph" w:styleId="9">
    <w:name w:val="heading 7"/>
    <w:basedOn w:val="1"/>
    <w:next w:val="1"/>
    <w:link w:val="47"/>
    <w:semiHidden/>
    <w:unhideWhenUsed/>
    <w:qFormat/>
    <w:uiPriority w:val="9"/>
    <w:pPr>
      <w:keepNext/>
      <w:keepLines/>
      <w:spacing w:before="240" w:after="64" w:line="317" w:lineRule="auto"/>
      <w:outlineLvl w:val="6"/>
    </w:pPr>
    <w:rPr>
      <w:b/>
      <w:sz w:val="24"/>
    </w:rPr>
  </w:style>
  <w:style w:type="paragraph" w:styleId="10">
    <w:name w:val="heading 8"/>
    <w:basedOn w:val="1"/>
    <w:next w:val="1"/>
    <w:link w:val="48"/>
    <w:semiHidden/>
    <w:unhideWhenUsed/>
    <w:qFormat/>
    <w:uiPriority w:val="9"/>
    <w:pPr>
      <w:keepNext/>
      <w:keepLines/>
      <w:spacing w:before="240" w:after="64" w:line="317" w:lineRule="auto"/>
      <w:outlineLvl w:val="7"/>
    </w:pPr>
    <w:rPr>
      <w:rFonts w:ascii="Arial" w:hAnsi="Arial" w:eastAsia="黑体"/>
      <w:sz w:val="24"/>
    </w:rPr>
  </w:style>
  <w:style w:type="paragraph" w:styleId="11">
    <w:name w:val="heading 9"/>
    <w:basedOn w:val="1"/>
    <w:next w:val="1"/>
    <w:link w:val="49"/>
    <w:semiHidden/>
    <w:unhideWhenUsed/>
    <w:qFormat/>
    <w:uiPriority w:val="9"/>
    <w:pPr>
      <w:keepNext/>
      <w:keepLines/>
      <w:spacing w:before="240" w:after="64" w:line="317" w:lineRule="auto"/>
      <w:outlineLvl w:val="8"/>
    </w:pPr>
    <w:rPr>
      <w:rFonts w:ascii="Arial" w:hAnsi="Arial" w:eastAsia="黑体"/>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qFormat/>
    <w:uiPriority w:val="0"/>
    <w:pPr>
      <w:spacing w:line="360" w:lineRule="auto"/>
      <w:ind w:firstLine="200" w:firstLineChars="200"/>
    </w:pPr>
    <w:rPr>
      <w:rFonts w:ascii="仿宋_GB2312" w:hAnsi="仿宋_GB2312"/>
      <w:sz w:val="24"/>
      <w:szCs w:val="30"/>
    </w:rPr>
  </w:style>
  <w:style w:type="paragraph" w:styleId="12">
    <w:name w:val="caption"/>
    <w:basedOn w:val="1"/>
    <w:next w:val="1"/>
    <w:link w:val="35"/>
    <w:unhideWhenUsed/>
    <w:qFormat/>
    <w:uiPriority w:val="0"/>
    <w:pPr>
      <w:numPr>
        <w:ilvl w:val="0"/>
        <w:numId w:val="2"/>
      </w:numPr>
      <w:spacing w:line="360" w:lineRule="auto"/>
      <w:ind w:left="0" w:firstLine="200" w:firstLineChars="200"/>
      <w:jc w:val="center"/>
    </w:pPr>
    <w:rPr>
      <w:rFonts w:ascii="Arial Unicode MS" w:hAnsi="Arial Unicode MS"/>
      <w:szCs w:val="20"/>
      <w:lang w:val="zh-CN"/>
    </w:rPr>
  </w:style>
  <w:style w:type="paragraph" w:styleId="13">
    <w:name w:val="Balloon Text"/>
    <w:basedOn w:val="1"/>
    <w:link w:val="33"/>
    <w:semiHidden/>
    <w:unhideWhenUsed/>
    <w:qFormat/>
    <w:uiPriority w:val="99"/>
    <w:rPr>
      <w:sz w:val="18"/>
      <w:szCs w:val="18"/>
    </w:rPr>
  </w:style>
  <w:style w:type="paragraph" w:styleId="14">
    <w:name w:val="footer"/>
    <w:basedOn w:val="1"/>
    <w:link w:val="28"/>
    <w:qFormat/>
    <w:uiPriority w:val="99"/>
    <w:pPr>
      <w:tabs>
        <w:tab w:val="center" w:pos="4153"/>
        <w:tab w:val="right" w:pos="8306"/>
      </w:tabs>
      <w:snapToGrid w:val="0"/>
      <w:jc w:val="left"/>
    </w:pPr>
    <w:rPr>
      <w:rFonts w:asciiTheme="minorHAnsi" w:hAnsiTheme="minorHAnsi" w:cstheme="minorBidi"/>
      <w:sz w:val="18"/>
      <w:szCs w:val="18"/>
    </w:rPr>
  </w:style>
  <w:style w:type="paragraph" w:styleId="15">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semiHidden/>
    <w:unhideWhenUsed/>
    <w:qFormat/>
    <w:uiPriority w:val="99"/>
    <w:rPr>
      <w:sz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customStyle="1" w:styleId="21">
    <w:name w:val="标题 1 Char"/>
    <w:basedOn w:val="19"/>
    <w:qFormat/>
    <w:uiPriority w:val="0"/>
    <w:rPr>
      <w:rFonts w:ascii="Times New Roman" w:hAnsi="Times New Roman" w:eastAsia="宋体" w:cs="Times New Roman"/>
      <w:b/>
      <w:bCs/>
      <w:kern w:val="44"/>
      <w:sz w:val="44"/>
      <w:szCs w:val="44"/>
    </w:rPr>
  </w:style>
  <w:style w:type="character" w:customStyle="1" w:styleId="22">
    <w:name w:val="标题 2 Char"/>
    <w:basedOn w:val="19"/>
    <w:qFormat/>
    <w:uiPriority w:val="0"/>
    <w:rPr>
      <w:rFonts w:ascii="Arial" w:hAnsi="Arial" w:eastAsia="黑体" w:cs="Times New Roman"/>
      <w:b/>
      <w:bCs/>
      <w:sz w:val="32"/>
      <w:szCs w:val="32"/>
    </w:rPr>
  </w:style>
  <w:style w:type="character" w:customStyle="1" w:styleId="23">
    <w:name w:val="标题 3 Char"/>
    <w:basedOn w:val="19"/>
    <w:qFormat/>
    <w:uiPriority w:val="0"/>
    <w:rPr>
      <w:rFonts w:ascii="黑体" w:hAnsi="Times New Roman" w:eastAsia="宋体" w:cs="Times New Roman"/>
      <w:bCs/>
      <w:kern w:val="0"/>
      <w:sz w:val="24"/>
      <w:szCs w:val="20"/>
    </w:rPr>
  </w:style>
  <w:style w:type="character" w:customStyle="1" w:styleId="24">
    <w:name w:val="列出段落 Char1"/>
    <w:link w:val="25"/>
    <w:qFormat/>
    <w:locked/>
    <w:uiPriority w:val="34"/>
    <w:rPr>
      <w:rFonts w:ascii="Calibri" w:hAnsi="Calibri"/>
    </w:rPr>
  </w:style>
  <w:style w:type="paragraph" w:styleId="25">
    <w:name w:val="List Paragraph"/>
    <w:basedOn w:val="1"/>
    <w:link w:val="24"/>
    <w:qFormat/>
    <w:uiPriority w:val="99"/>
    <w:pPr>
      <w:ind w:firstLine="420" w:firstLineChars="200"/>
    </w:pPr>
    <w:rPr>
      <w:rFonts w:ascii="Calibri" w:hAnsi="Calibri" w:eastAsiaTheme="minorEastAsia" w:cstheme="minorBidi"/>
      <w:szCs w:val="22"/>
    </w:rPr>
  </w:style>
  <w:style w:type="character" w:customStyle="1" w:styleId="26">
    <w:name w:val="页脚 Char"/>
    <w:qFormat/>
    <w:uiPriority w:val="99"/>
    <w:rPr>
      <w:rFonts w:eastAsia="宋体"/>
      <w:sz w:val="18"/>
      <w:szCs w:val="18"/>
    </w:rPr>
  </w:style>
  <w:style w:type="character" w:customStyle="1" w:styleId="27">
    <w:name w:val="页眉 Char"/>
    <w:basedOn w:val="19"/>
    <w:link w:val="15"/>
    <w:qFormat/>
    <w:uiPriority w:val="0"/>
    <w:rPr>
      <w:rFonts w:ascii="Times New Roman" w:hAnsi="Times New Roman" w:eastAsia="宋体" w:cs="Times New Roman"/>
      <w:sz w:val="18"/>
      <w:szCs w:val="18"/>
    </w:rPr>
  </w:style>
  <w:style w:type="character" w:customStyle="1" w:styleId="28">
    <w:name w:val="页脚 Char1"/>
    <w:basedOn w:val="19"/>
    <w:link w:val="14"/>
    <w:semiHidden/>
    <w:qFormat/>
    <w:uiPriority w:val="99"/>
    <w:rPr>
      <w:rFonts w:ascii="Times New Roman" w:hAnsi="Times New Roman" w:eastAsia="宋体" w:cs="Times New Roman"/>
      <w:sz w:val="18"/>
      <w:szCs w:val="18"/>
    </w:rPr>
  </w:style>
  <w:style w:type="paragraph" w:customStyle="1" w:styleId="29">
    <w:name w:val="List Paragraph1"/>
    <w:basedOn w:val="1"/>
    <w:qFormat/>
    <w:uiPriority w:val="34"/>
    <w:pPr>
      <w:ind w:firstLine="420" w:firstLineChars="200"/>
    </w:pPr>
  </w:style>
  <w:style w:type="paragraph" w:customStyle="1" w:styleId="30">
    <w:name w:val="p17"/>
    <w:basedOn w:val="1"/>
    <w:qFormat/>
    <w:uiPriority w:val="0"/>
    <w:pPr>
      <w:widowControl/>
      <w:spacing w:line="360" w:lineRule="auto"/>
      <w:ind w:firstLine="420"/>
    </w:pPr>
    <w:rPr>
      <w:rFonts w:ascii="华文细黑" w:hAnsi="华文细黑" w:eastAsia="华文细黑" w:cs="宋体"/>
      <w:kern w:val="0"/>
      <w:sz w:val="20"/>
      <w:szCs w:val="20"/>
    </w:rPr>
  </w:style>
  <w:style w:type="paragraph" w:customStyle="1" w:styleId="31">
    <w:name w:val="文字"/>
    <w:basedOn w:val="1"/>
    <w:qFormat/>
    <w:uiPriority w:val="0"/>
    <w:pPr>
      <w:tabs>
        <w:tab w:val="left" w:pos="8520"/>
      </w:tabs>
      <w:spacing w:line="312" w:lineRule="auto"/>
      <w:ind w:right="-210" w:firstLine="556"/>
    </w:pPr>
    <w:rPr>
      <w:rFonts w:ascii="楷体_GB2312" w:eastAsia="楷体_GB2312"/>
      <w:sz w:val="28"/>
      <w:szCs w:val="20"/>
    </w:rPr>
  </w:style>
  <w:style w:type="paragraph" w:customStyle="1" w:styleId="32">
    <w:name w:val="p0"/>
    <w:basedOn w:val="1"/>
    <w:qFormat/>
    <w:uiPriority w:val="0"/>
    <w:pPr>
      <w:widowControl/>
      <w:spacing w:line="288" w:lineRule="auto"/>
    </w:pPr>
    <w:rPr>
      <w:rFonts w:ascii="Arial" w:hAnsi="Arial" w:cs="Arial"/>
      <w:kern w:val="0"/>
      <w:sz w:val="20"/>
      <w:szCs w:val="20"/>
    </w:rPr>
  </w:style>
  <w:style w:type="character" w:customStyle="1" w:styleId="33">
    <w:name w:val="批注框文本 Char"/>
    <w:basedOn w:val="19"/>
    <w:link w:val="13"/>
    <w:semiHidden/>
    <w:qFormat/>
    <w:uiPriority w:val="99"/>
    <w:rPr>
      <w:rFonts w:ascii="Times New Roman" w:hAnsi="Times New Roman" w:eastAsia="宋体" w:cs="Times New Roman"/>
      <w:sz w:val="18"/>
      <w:szCs w:val="18"/>
    </w:rPr>
  </w:style>
  <w:style w:type="paragraph" w:customStyle="1" w:styleId="34">
    <w:name w:val="样式 首行缩进:  0 字符"/>
    <w:basedOn w:val="1"/>
    <w:qFormat/>
    <w:uiPriority w:val="0"/>
    <w:pPr>
      <w:spacing w:line="360" w:lineRule="auto"/>
      <w:ind w:firstLine="200" w:firstLineChars="200"/>
    </w:pPr>
    <w:rPr>
      <w:rFonts w:cs="宋体"/>
      <w:sz w:val="24"/>
      <w:szCs w:val="20"/>
    </w:rPr>
  </w:style>
  <w:style w:type="character" w:customStyle="1" w:styleId="35">
    <w:name w:val="题注 Char"/>
    <w:link w:val="12"/>
    <w:qFormat/>
    <w:uiPriority w:val="0"/>
    <w:rPr>
      <w:rFonts w:ascii="Arial Unicode MS" w:hAnsi="Arial Unicode MS" w:eastAsia="宋体" w:cs="Times New Roman"/>
      <w:kern w:val="2"/>
      <w:sz w:val="21"/>
      <w:lang w:val="zh-CN" w:eastAsia="zh-CN"/>
    </w:rPr>
  </w:style>
  <w:style w:type="paragraph" w:customStyle="1" w:styleId="36">
    <w:name w:val="列出段落1"/>
    <w:basedOn w:val="1"/>
    <w:link w:val="37"/>
    <w:qFormat/>
    <w:uiPriority w:val="0"/>
    <w:pPr>
      <w:ind w:firstLine="420" w:firstLineChars="200"/>
    </w:pPr>
    <w:rPr>
      <w:szCs w:val="20"/>
    </w:rPr>
  </w:style>
  <w:style w:type="character" w:customStyle="1" w:styleId="37">
    <w:name w:val="列出段落 Char"/>
    <w:link w:val="36"/>
    <w:qFormat/>
    <w:uiPriority w:val="0"/>
    <w:rPr>
      <w:rFonts w:ascii="Times New Roman" w:hAnsi="Times New Roman" w:eastAsia="宋体" w:cs="Times New Roman"/>
      <w:kern w:val="2"/>
      <w:sz w:val="21"/>
    </w:rPr>
  </w:style>
  <w:style w:type="paragraph" w:customStyle="1" w:styleId="38">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39">
    <w:name w:val="正文（1）"/>
    <w:basedOn w:val="1"/>
    <w:link w:val="40"/>
    <w:qFormat/>
    <w:uiPriority w:val="0"/>
    <w:pPr>
      <w:numPr>
        <w:ilvl w:val="0"/>
        <w:numId w:val="3"/>
      </w:numPr>
      <w:spacing w:line="360" w:lineRule="auto"/>
    </w:pPr>
    <w:rPr>
      <w:rFonts w:eastAsia="仿宋"/>
      <w:sz w:val="24"/>
      <w:szCs w:val="21"/>
    </w:rPr>
  </w:style>
  <w:style w:type="character" w:customStyle="1" w:styleId="40">
    <w:name w:val="正文（1） Char"/>
    <w:basedOn w:val="19"/>
    <w:link w:val="39"/>
    <w:qFormat/>
    <w:uiPriority w:val="0"/>
    <w:rPr>
      <w:rFonts w:hint="default" w:ascii="Times New Roman" w:hAnsi="Times New Roman" w:eastAsia="仿宋" w:cs="Times New Roman"/>
      <w:sz w:val="24"/>
    </w:rPr>
  </w:style>
  <w:style w:type="character" w:customStyle="1" w:styleId="41">
    <w:name w:val="标题 4 Char"/>
    <w:basedOn w:val="19"/>
    <w:link w:val="6"/>
    <w:qFormat/>
    <w:uiPriority w:val="0"/>
    <w:rPr>
      <w:rFonts w:hint="default" w:ascii="Times New Roman" w:hAnsi="Times New Roman" w:eastAsia="黑体" w:cs="Times New Roman"/>
      <w:bCs/>
      <w:sz w:val="30"/>
      <w:szCs w:val="28"/>
    </w:rPr>
  </w:style>
  <w:style w:type="character" w:customStyle="1" w:styleId="42">
    <w:name w:val="标题 6 Char"/>
    <w:basedOn w:val="19"/>
    <w:link w:val="8"/>
    <w:qFormat/>
    <w:uiPriority w:val="0"/>
    <w:rPr>
      <w:rFonts w:hint="default" w:ascii="Times New Roman" w:hAnsi="Times New Roman" w:eastAsia="黑体" w:cs="Times New Roman"/>
      <w:bCs/>
      <w:sz w:val="28"/>
    </w:rPr>
  </w:style>
  <w:style w:type="character" w:customStyle="1" w:styleId="43">
    <w:name w:val="标题 3 Char1"/>
    <w:basedOn w:val="19"/>
    <w:link w:val="5"/>
    <w:qFormat/>
    <w:uiPriority w:val="0"/>
    <w:rPr>
      <w:rFonts w:hint="default" w:ascii="Times New Roman" w:hAnsi="Times New Roman" w:eastAsia="黑体" w:cs="Times New Roman"/>
      <w:bCs/>
      <w:sz w:val="32"/>
      <w:szCs w:val="32"/>
    </w:rPr>
  </w:style>
  <w:style w:type="character" w:customStyle="1" w:styleId="44">
    <w:name w:val="标题 5 Char"/>
    <w:basedOn w:val="19"/>
    <w:link w:val="7"/>
    <w:qFormat/>
    <w:uiPriority w:val="0"/>
    <w:rPr>
      <w:rFonts w:hint="default" w:ascii="Times New Roman" w:hAnsi="Times New Roman" w:eastAsia="黑体" w:cs="Times New Roman"/>
      <w:bCs/>
      <w:sz w:val="28"/>
      <w:szCs w:val="28"/>
    </w:rPr>
  </w:style>
  <w:style w:type="character" w:customStyle="1" w:styleId="45">
    <w:name w:val="标题 2 Char1"/>
    <w:basedOn w:val="19"/>
    <w:link w:val="4"/>
    <w:qFormat/>
    <w:uiPriority w:val="0"/>
    <w:rPr>
      <w:rFonts w:hint="default" w:ascii="Times New Roman" w:hAnsi="Times New Roman" w:eastAsia="黑体" w:cs="Times New Roman"/>
      <w:bCs/>
      <w:sz w:val="36"/>
      <w:szCs w:val="36"/>
    </w:rPr>
  </w:style>
  <w:style w:type="character" w:customStyle="1" w:styleId="46">
    <w:name w:val="标题 1 Char1"/>
    <w:basedOn w:val="19"/>
    <w:link w:val="3"/>
    <w:qFormat/>
    <w:uiPriority w:val="0"/>
    <w:rPr>
      <w:rFonts w:hint="default" w:ascii="Times New Roman" w:hAnsi="Times New Roman" w:eastAsia="黑体" w:cs="Times New Roman"/>
      <w:bCs/>
      <w:kern w:val="0"/>
      <w:sz w:val="44"/>
      <w:szCs w:val="44"/>
    </w:rPr>
  </w:style>
  <w:style w:type="character" w:customStyle="1" w:styleId="47">
    <w:name w:val="标题 7 Char"/>
    <w:basedOn w:val="19"/>
    <w:link w:val="9"/>
    <w:qFormat/>
    <w:uiPriority w:val="0"/>
    <w:rPr>
      <w:rFonts w:hint="default" w:ascii="Times New Roman" w:hAnsi="Times New Roman" w:eastAsia="仿宋" w:cs="Times New Roman"/>
      <w:bCs/>
      <w:sz w:val="24"/>
      <w:szCs w:val="24"/>
      <w:lang w:eastAsia="en-US"/>
    </w:rPr>
  </w:style>
  <w:style w:type="character" w:customStyle="1" w:styleId="48">
    <w:name w:val="标题 8 Char"/>
    <w:basedOn w:val="19"/>
    <w:link w:val="10"/>
    <w:qFormat/>
    <w:uiPriority w:val="0"/>
    <w:rPr>
      <w:rFonts w:hint="default" w:ascii="Times New Roman" w:hAnsi="Times New Roman" w:eastAsia="仿宋" w:cs="Times New Roman"/>
      <w:sz w:val="24"/>
      <w:szCs w:val="24"/>
      <w:lang w:eastAsia="en-US"/>
    </w:rPr>
  </w:style>
  <w:style w:type="character" w:customStyle="1" w:styleId="49">
    <w:name w:val="标题 9 Char"/>
    <w:basedOn w:val="19"/>
    <w:link w:val="11"/>
    <w:qFormat/>
    <w:uiPriority w:val="0"/>
    <w:rPr>
      <w:rFonts w:hint="default" w:ascii="Times New Roman" w:hAnsi="Times New Roman" w:eastAsia="仿宋" w:cs="Times New Roman"/>
      <w:sz w:val="24"/>
      <w:lang w:eastAsia="en-US"/>
    </w:rPr>
  </w:style>
  <w:style w:type="character" w:customStyle="1" w:styleId="50">
    <w:name w:val="题注 字符"/>
    <w:basedOn w:val="19"/>
    <w:qFormat/>
    <w:uiPriority w:val="0"/>
    <w:rPr>
      <w:rFonts w:hint="default" w:ascii="Times New Roman" w:hAnsi="Times New Roman" w:eastAsia="仿宋" w:cs="Times New Roman"/>
    </w:rPr>
  </w:style>
  <w:style w:type="paragraph" w:customStyle="1" w:styleId="51">
    <w:name w:val="标准正文"/>
    <w:basedOn w:val="1"/>
    <w:link w:val="52"/>
    <w:qFormat/>
    <w:uiPriority w:val="0"/>
    <w:pPr>
      <w:spacing w:before="156" w:after="156" w:line="360" w:lineRule="auto"/>
      <w:ind w:firstLine="480" w:firstLineChars="200"/>
    </w:pPr>
    <w:rPr>
      <w:sz w:val="24"/>
      <w:szCs w:val="20"/>
    </w:rPr>
  </w:style>
  <w:style w:type="character" w:customStyle="1" w:styleId="52">
    <w:name w:val="标准正文 Char"/>
    <w:basedOn w:val="19"/>
    <w:link w:val="51"/>
    <w:qFormat/>
    <w:uiPriority w:val="0"/>
    <w:rPr>
      <w:rFonts w:hint="default" w:ascii="Times New Roman" w:hAnsi="Times New Roman" w:eastAsia="宋体"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4370A3-284C-4E2C-8993-F1EE866ED99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1866</Words>
  <Characters>10638</Characters>
  <Lines>88</Lines>
  <Paragraphs>24</Paragraphs>
  <TotalTime>20</TotalTime>
  <ScaleCrop>false</ScaleCrop>
  <LinksUpToDate>false</LinksUpToDate>
  <CharactersWithSpaces>12480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2022-01-12T12:31:00Z</dcterms:created>
  <dc:creator>PC</dc:creator>
  <cp:lastModifiedBy>jdbwb</cp:lastModifiedBy>
  <dcterms:modified xsi:type="dcterms:W3CDTF">2022-01-18T05:46:39Z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2444B61973D94AB28CCF08A8A81F3FFF</vt:lpwstr>
  </property>
</Properties>
</file>