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80"/>
        <w:jc w:val="center"/>
      </w:pPr>
      <w:r>
        <w:rPr>
          <w:sz w:val="32"/>
        </w:rPr>
        <w:t>关于汽水分离器和反冲洗过滤器说明</w:t>
      </w:r>
      <w:bookmarkStart w:id="0" w:name="_GoBack"/>
      <w:bookmarkEnd w:id="0"/>
    </w:p>
    <w:p/>
    <w:p>
      <w:pPr>
        <w:spacing w:after="80"/>
        <w:jc w:val="both"/>
      </w:pPr>
      <w:r>
        <w:rPr>
          <w:sz w:val="24"/>
        </w:rPr>
        <w:t>尊敬的集团公司供应部领导: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480" w:lineRule="auto"/>
        <w:ind w:right="0" w:firstLine="360" w:firstLineChars="150"/>
        <w:jc w:val="both"/>
        <w:textAlignment w:val="auto"/>
      </w:pPr>
      <w:r>
        <w:rPr>
          <w:sz w:val="24"/>
        </w:rPr>
        <w:t>因我矿井下用水为中水，水质较差，再加上井上及井下的主风水管路时间较久，内壁有锈蚀脱落，为保证过滤器及汽水分离器真正能安全可靠运行和减少技术偏差，我们统一明确技术要求</w:t>
      </w:r>
      <w:r>
        <w:rPr>
          <w:color w:val="0000FF"/>
          <w:sz w:val="24"/>
        </w:rPr>
        <w:t>：汽水分离器材质为全304不锈钢；反冲洗过滤器的容器壁厚不小于6mm;过滤器滤芯要求304耐腐蚀不锈钢。汽水分离器和反冲洗过滤器均为机械式智能全自动型(非电器控制)，且到货时必须经我矿相关人员与厂家人员一起现场拆解验证，确保能实现上述技术要求方可接收入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480" w:lineRule="auto"/>
        <w:ind w:firstLine="420" w:firstLineChars="150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特此说明!</w:t>
      </w:r>
    </w:p>
    <w:p>
      <w:pPr>
        <w:ind w:left="5102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崔庄煤矿综机科</w:t>
      </w:r>
    </w:p>
    <w:p>
      <w:pPr>
        <w:ind w:left="5102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2023年12月7日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DU1OTEzMGE2ZWRjM2E3MWYyNDU1NTk1MmI4Y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6677E2C"/>
    <w:rsid w:val="622E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lenovo</cp:lastModifiedBy>
  <dcterms:modified xsi:type="dcterms:W3CDTF">2023-12-07T09:06:11Z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372F787C317F4E009229053ECF9B70C4_12</vt:lpwstr>
  </property>
</Properties>
</file>